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0" w:name="_GoBack"/>
          <w:bookmarkEnd w:id="0"/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4C7A39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4C7A39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C7A39" w:rsidRPr="004C7A39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C7A39">
            <w:rPr>
              <w:rFonts w:ascii="Times New Roman" w:eastAsia="Arial Unicode MS" w:hAnsi="Times New Roman" w:cs="Times New Roman"/>
              <w:sz w:val="56"/>
              <w:szCs w:val="56"/>
            </w:rPr>
            <w:t>СТОЛЯРНОЕ ДЕЛО</w:t>
          </w:r>
          <w:r w:rsidR="004C7A39" w:rsidRPr="004C7A39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624D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624D2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624D2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4</w:t>
        </w:r>
      </w:hyperlink>
    </w:p>
    <w:p w:rsidR="003934F8" w:rsidRDefault="002624D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2624D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8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8</w:t>
        </w:r>
      </w:hyperlink>
    </w:p>
    <w:p w:rsidR="003934F8" w:rsidRDefault="002624D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9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9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10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11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11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12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13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13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13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9143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2624D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9143A">
          <w:rPr>
            <w:noProof/>
            <w:webHidden/>
            <w:lang w:val="ru-RU"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914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914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D914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21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23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23</w:t>
        </w:r>
      </w:hyperlink>
    </w:p>
    <w:p w:rsidR="003934F8" w:rsidRDefault="002624D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24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2624D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25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25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25</w:t>
        </w:r>
      </w:hyperlink>
    </w:p>
    <w:p w:rsidR="003934F8" w:rsidRDefault="002624D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26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26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27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28</w:t>
        </w:r>
      </w:hyperlink>
    </w:p>
    <w:p w:rsidR="003934F8" w:rsidRDefault="002624D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30</w:t>
        </w:r>
      </w:hyperlink>
    </w:p>
    <w:p w:rsidR="003934F8" w:rsidRDefault="002624D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31</w:t>
        </w:r>
      </w:hyperlink>
    </w:p>
    <w:p w:rsidR="00AA2B8A" w:rsidRDefault="002624D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2624D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2624D2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C512B7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Столярное дело</w:t>
      </w:r>
    </w:p>
    <w:p w:rsidR="00DE39D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00C28" w:rsidRPr="00D00C28" w:rsidRDefault="00D00C28" w:rsidP="00D00C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Столя́р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 — профессиональный рабочий,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Ремесленник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ремесленник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</w:t>
      </w:r>
      <w:r w:rsidR="002646A5">
        <w:rPr>
          <w:rFonts w:ascii="Times New Roman" w:hAnsi="Times New Roman" w:cs="Times New Roman"/>
          <w:sz w:val="28"/>
          <w:szCs w:val="28"/>
          <w:shd w:val="clear" w:color="auto" w:fill="FFFFFF"/>
        </w:rPr>
        <w:t>тающий с деревом,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изготавливающий изделия из дерева или изделия на основе дерева. Столяр занимается столярными работами: изготовлением сложной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Мебель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мебели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Дверь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дверей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Окно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окон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Арка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арок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Лестница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лестниц</w:t>
        </w:r>
      </w:hyperlink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других изделий из массива древесины, без резьбы вручную. </w:t>
      </w:r>
      <w:r w:rsidRPr="00D00C28">
        <w:rPr>
          <w:rFonts w:ascii="Times New Roman" w:hAnsi="Times New Roman" w:cs="Times New Roman"/>
          <w:sz w:val="28"/>
          <w:szCs w:val="28"/>
        </w:rPr>
        <w:t>Столяр работает ручным, электрифицированным 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0C28">
        <w:rPr>
          <w:rFonts w:ascii="Times New Roman" w:hAnsi="Times New Roman" w:cs="Times New Roman"/>
          <w:sz w:val="28"/>
          <w:szCs w:val="28"/>
        </w:rPr>
        <w:t>трументом и на деревообрабатывающих станках</w:t>
      </w:r>
    </w:p>
    <w:p w:rsidR="00D00C28" w:rsidRPr="00D00C28" w:rsidRDefault="00D00C28" w:rsidP="00D00C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 столяра востребована в мебельном производстве, в строительстве домов, в отделке домов, в авиационной промышленности (изготовление деревянных планеров и част</w:t>
      </w:r>
      <w:r w:rsidR="00A91821">
        <w:rPr>
          <w:rFonts w:ascii="Times New Roman" w:hAnsi="Times New Roman" w:cs="Times New Roman"/>
          <w:sz w:val="28"/>
          <w:szCs w:val="28"/>
          <w:shd w:val="clear" w:color="auto" w:fill="FFFFFF"/>
        </w:rPr>
        <w:t>ей самолетов)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других сферах.</w:t>
      </w:r>
    </w:p>
    <w:p w:rsidR="00D00C28" w:rsidRPr="00D3691C" w:rsidRDefault="00D00C28" w:rsidP="00D00C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C28">
        <w:rPr>
          <w:rFonts w:ascii="Times New Roman" w:hAnsi="Times New Roman" w:cs="Times New Roman"/>
          <w:sz w:val="28"/>
          <w:szCs w:val="28"/>
        </w:rPr>
        <w:t>Столяр должен знать: свойства древесины разных пород, способы ее обработки; дефекты древесины, способы изготовления, пригонки и навески столярных изделий; технологию и оборудование</w:t>
      </w:r>
      <w:r w:rsidRPr="00D3691C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B05F3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04"/>
        <w:gridCol w:w="7894"/>
        <w:gridCol w:w="1457"/>
      </w:tblGrid>
      <w:tr w:rsidR="00DE39D8" w:rsidRPr="009955F8" w:rsidTr="00D37CEC">
        <w:tc>
          <w:tcPr>
            <w:tcW w:w="8777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C512B7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Чертёж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B6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755067" w:rsidRDefault="00C512B7" w:rsidP="00B05F34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Чтени</w:t>
            </w:r>
            <w:r w:rsidR="006202CC">
              <w:rPr>
                <w:rFonts w:ascii="Times New Roman" w:eastAsia="Times New Roman" w:hAnsi="Times New Roman"/>
                <w:sz w:val="28"/>
                <w:szCs w:val="28"/>
              </w:rPr>
              <w:t>е и выполнение чертежей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согласно стандартам 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ISO</w:t>
            </w:r>
            <w:r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C6A23"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DE39D8" w:rsidRPr="00755067" w:rsidRDefault="006202CC" w:rsidP="00B05F34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Понимание необходимости 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>сос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тавления точного чертежа для качествен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C6A23" w:rsidRPr="00755067" w:rsidRDefault="00620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Начертить полноразмерный </w:t>
            </w:r>
            <w:r w:rsidR="00755067">
              <w:rPr>
                <w:rFonts w:ascii="Times New Roman" w:eastAsia="Times New Roman" w:hAnsi="Times New Roman"/>
                <w:sz w:val="28"/>
                <w:szCs w:val="28"/>
              </w:rPr>
              <w:t>чертёж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1:1</w:t>
            </w:r>
            <w:r w:rsidR="009126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>(например, дверь или рама)</w:t>
            </w:r>
          </w:p>
          <w:p w:rsidR="003D26EA" w:rsidRDefault="003D26EA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 xml:space="preserve">Чертить все необходимые типы линий: </w:t>
            </w:r>
            <w:r>
              <w:rPr>
                <w:sz w:val="28"/>
                <w:szCs w:val="28"/>
              </w:rPr>
              <w:t>линии видимого контура, выносные и размерные линии, линии невидимого контура и т.п</w:t>
            </w:r>
            <w:r w:rsidRPr="00FD520E">
              <w:rPr>
                <w:sz w:val="28"/>
                <w:szCs w:val="28"/>
              </w:rPr>
              <w:t xml:space="preserve"> </w:t>
            </w:r>
          </w:p>
          <w:p w:rsidR="00FD520E" w:rsidRPr="003D26EA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D26EA">
              <w:rPr>
                <w:sz w:val="28"/>
                <w:szCs w:val="28"/>
              </w:rPr>
              <w:t xml:space="preserve">Чертить </w:t>
            </w:r>
            <w:r w:rsidR="003D26EA">
              <w:rPr>
                <w:sz w:val="28"/>
                <w:szCs w:val="28"/>
              </w:rPr>
              <w:t xml:space="preserve">прямые </w:t>
            </w:r>
            <w:r w:rsidRPr="003D26EA">
              <w:rPr>
                <w:sz w:val="28"/>
                <w:szCs w:val="28"/>
              </w:rPr>
              <w:t>линии одноро</w:t>
            </w:r>
            <w:r w:rsidR="00871065" w:rsidRPr="003D26EA">
              <w:rPr>
                <w:sz w:val="28"/>
                <w:szCs w:val="28"/>
              </w:rPr>
              <w:t xml:space="preserve">дной толщины </w:t>
            </w:r>
            <w:r w:rsidR="003D26EA" w:rsidRPr="003D26EA">
              <w:rPr>
                <w:sz w:val="28"/>
                <w:szCs w:val="28"/>
              </w:rPr>
              <w:t>для одного и того же типа линий</w:t>
            </w:r>
          </w:p>
          <w:p w:rsidR="00FD520E" w:rsidRPr="003D26EA" w:rsidRDefault="00FD520E" w:rsidP="003D26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Чертить то</w:t>
            </w:r>
            <w:r w:rsidR="00871065">
              <w:rPr>
                <w:sz w:val="28"/>
                <w:szCs w:val="28"/>
              </w:rPr>
              <w:t>чные, с правильными пропорциями</w:t>
            </w:r>
            <w:r w:rsidR="003D26EA">
              <w:rPr>
                <w:sz w:val="28"/>
                <w:szCs w:val="28"/>
              </w:rPr>
              <w:t xml:space="preserve"> детали соединений,</w:t>
            </w:r>
            <w:r w:rsidRPr="00FD520E">
              <w:rPr>
                <w:sz w:val="28"/>
                <w:szCs w:val="28"/>
              </w:rPr>
              <w:t xml:space="preserve"> </w:t>
            </w:r>
            <w:r w:rsidR="003D26EA" w:rsidRPr="00FD520E">
              <w:rPr>
                <w:sz w:val="28"/>
                <w:szCs w:val="28"/>
              </w:rPr>
              <w:t>четко соблюд</w:t>
            </w:r>
            <w:r w:rsidR="003D26EA">
              <w:rPr>
                <w:sz w:val="28"/>
                <w:szCs w:val="28"/>
              </w:rPr>
              <w:t xml:space="preserve">ать места пересечений. </w:t>
            </w:r>
            <w:r w:rsidRPr="003D26EA">
              <w:rPr>
                <w:sz w:val="28"/>
                <w:szCs w:val="28"/>
              </w:rPr>
              <w:t>Все скрытые детали должны быть показаны на чертеже</w:t>
            </w:r>
          </w:p>
          <w:p w:rsidR="00FD520E" w:rsidRPr="00FD520E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Размеры: убедиться в точности размеров (погрешность до 0,5</w:t>
            </w:r>
            <w:r w:rsidR="00CA7D1D">
              <w:rPr>
                <w:sz w:val="28"/>
                <w:szCs w:val="28"/>
              </w:rPr>
              <w:t xml:space="preserve"> мм</w:t>
            </w:r>
            <w:r w:rsidRPr="00FD520E">
              <w:rPr>
                <w:sz w:val="28"/>
                <w:szCs w:val="28"/>
              </w:rPr>
              <w:t>)</w:t>
            </w:r>
          </w:p>
          <w:p w:rsidR="00FD520E" w:rsidRPr="00FD520E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 xml:space="preserve">При необходимости чертить горизонтальные и вертикальные разрезы каждого компонента (погрешность до 1 </w:t>
            </w:r>
            <w:r>
              <w:rPr>
                <w:sz w:val="28"/>
                <w:szCs w:val="28"/>
              </w:rPr>
              <w:t>мм)</w:t>
            </w:r>
          </w:p>
          <w:p w:rsidR="00DE39D8" w:rsidRPr="00755067" w:rsidRDefault="00FD520E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871065">
              <w:rPr>
                <w:rFonts w:ascii="Times New Roman" w:eastAsia="Times New Roman" w:hAnsi="Times New Roman"/>
                <w:sz w:val="28"/>
                <w:szCs w:val="28"/>
              </w:rPr>
              <w:t>оздать законченный чертеж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, лишенный грязных пятен 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 карандашного грифеля или разводов от ластика</w:t>
            </w:r>
            <w:r w:rsidR="005C6A23"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FD520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Внутренние соединения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B6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78107F" w:rsidRDefault="007444F6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107F">
              <w:rPr>
                <w:rFonts w:ascii="Times New Roman" w:eastAsia="Times New Roman" w:hAnsi="Times New Roman"/>
                <w:sz w:val="28"/>
                <w:szCs w:val="28"/>
              </w:rPr>
              <w:t>Внутренние соединения</w:t>
            </w:r>
            <w:r w:rsidR="005C6A23" w:rsidRPr="0078107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FD520E" w:rsidRPr="00FD520E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Материалы и процессы их изготовления;</w:t>
            </w:r>
          </w:p>
          <w:p w:rsidR="00ED3C4A" w:rsidRPr="00ED3C4A" w:rsidRDefault="007444F6" w:rsidP="007444F6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D520E" w:rsidRPr="00FD520E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="00FD520E" w:rsidRPr="00FD520E">
              <w:rPr>
                <w:sz w:val="28"/>
                <w:szCs w:val="28"/>
              </w:rPr>
              <w:t xml:space="preserve"> техники безопасности при работе с</w:t>
            </w:r>
            <w:r>
              <w:rPr>
                <w:sz w:val="28"/>
                <w:szCs w:val="28"/>
              </w:rPr>
              <w:t>:</w:t>
            </w:r>
            <w:r w:rsidR="00FD520E" w:rsidRPr="00FD520E">
              <w:rPr>
                <w:sz w:val="28"/>
                <w:szCs w:val="28"/>
              </w:rPr>
              <w:t xml:space="preserve"> </w:t>
            </w:r>
          </w:p>
          <w:p w:rsidR="00ED3C4A" w:rsidRPr="00ED3C4A" w:rsidRDefault="00ED3C4A" w:rsidP="00ED3C4A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7444F6" w:rsidRPr="00ED3C4A">
              <w:rPr>
                <w:rFonts w:ascii="Times New Roman" w:eastAsia="Times New Roman" w:hAnsi="Times New Roman"/>
                <w:sz w:val="28"/>
                <w:szCs w:val="28"/>
              </w:rPr>
              <w:t>учным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столярным инструментом</w:t>
            </w:r>
            <w:r w:rsidR="007444F6"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D3C4A" w:rsidRPr="00ED3C4A" w:rsidRDefault="007444F6" w:rsidP="00ED3C4A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электрифицированным</w:t>
            </w:r>
            <w:r w:rsidR="00FD520E"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D3C4A" w:rsidRPr="00ED3C4A">
              <w:rPr>
                <w:rFonts w:ascii="Times New Roman" w:eastAsia="Times New Roman" w:hAnsi="Times New Roman"/>
                <w:sz w:val="28"/>
                <w:szCs w:val="28"/>
              </w:rPr>
              <w:t>инструментом</w:t>
            </w:r>
          </w:p>
          <w:p w:rsidR="007444F6" w:rsidRPr="00ED3C4A" w:rsidRDefault="007444F6" w:rsidP="00ED3C4A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деревообрабатывающими станками</w:t>
            </w:r>
            <w:r w:rsidR="00FD520E"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C6A23" w:rsidRPr="00755067" w:rsidRDefault="00ED3C4A" w:rsidP="0078107F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00C28">
              <w:rPr>
                <w:sz w:val="28"/>
                <w:szCs w:val="28"/>
              </w:rPr>
              <w:t>еобходимость</w:t>
            </w:r>
            <w:r w:rsidR="00FD520E" w:rsidRPr="00755067">
              <w:rPr>
                <w:sz w:val="28"/>
                <w:szCs w:val="28"/>
              </w:rPr>
              <w:t xml:space="preserve"> плотно</w:t>
            </w:r>
            <w:r w:rsidR="0078107F">
              <w:rPr>
                <w:sz w:val="28"/>
                <w:szCs w:val="28"/>
              </w:rPr>
              <w:t xml:space="preserve"> подогнанных</w:t>
            </w:r>
            <w:r w:rsidR="00FD520E" w:rsidRPr="00755067">
              <w:rPr>
                <w:sz w:val="28"/>
                <w:szCs w:val="28"/>
              </w:rPr>
              <w:t xml:space="preserve"> соединений для формирования поверхности под склейку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>Создавать аккуратные пазы под шип вручную</w:t>
            </w:r>
            <w:r w:rsidR="00E3615F">
              <w:rPr>
                <w:sz w:val="28"/>
                <w:szCs w:val="28"/>
              </w:rPr>
              <w:t>, с помощью электрифицированного</w:t>
            </w:r>
            <w:r w:rsidRPr="00FF0F96">
              <w:rPr>
                <w:sz w:val="28"/>
                <w:szCs w:val="28"/>
              </w:rPr>
              <w:t xml:space="preserve"> инструмент</w:t>
            </w:r>
            <w:r w:rsidR="00E3615F">
              <w:rPr>
                <w:sz w:val="28"/>
                <w:szCs w:val="28"/>
              </w:rPr>
              <w:t>а и д</w:t>
            </w:r>
            <w:r w:rsidR="00D00C28">
              <w:rPr>
                <w:sz w:val="28"/>
                <w:szCs w:val="28"/>
              </w:rPr>
              <w:t>ерев</w:t>
            </w:r>
            <w:r w:rsidR="00E3615F">
              <w:rPr>
                <w:sz w:val="28"/>
                <w:szCs w:val="28"/>
              </w:rPr>
              <w:t>о</w:t>
            </w:r>
            <w:r w:rsidR="00D00C28">
              <w:rPr>
                <w:sz w:val="28"/>
                <w:szCs w:val="28"/>
              </w:rPr>
              <w:t>обрабатывающих</w:t>
            </w:r>
            <w:r w:rsidR="00E3615F">
              <w:rPr>
                <w:sz w:val="28"/>
                <w:szCs w:val="28"/>
              </w:rPr>
              <w:t xml:space="preserve"> станков  (например: электрический фрезер,</w:t>
            </w:r>
            <w:r w:rsidRPr="00FF0F96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>лбежный станок</w:t>
            </w:r>
            <w:r w:rsidR="00E3615F">
              <w:rPr>
                <w:sz w:val="28"/>
                <w:szCs w:val="28"/>
              </w:rPr>
              <w:t xml:space="preserve"> и т.п.</w:t>
            </w:r>
            <w:r>
              <w:rPr>
                <w:sz w:val="28"/>
                <w:szCs w:val="28"/>
              </w:rPr>
              <w:t>)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>Созд</w:t>
            </w:r>
            <w:r w:rsidR="00E3615F">
              <w:rPr>
                <w:sz w:val="28"/>
                <w:szCs w:val="28"/>
              </w:rPr>
              <w:t>авать пазы под шип,</w:t>
            </w:r>
            <w:r w:rsidRPr="00FF0F96">
              <w:rPr>
                <w:sz w:val="28"/>
                <w:szCs w:val="28"/>
              </w:rPr>
              <w:t xml:space="preserve"> лишенные</w:t>
            </w:r>
            <w:r w:rsidR="00E3615F">
              <w:rPr>
                <w:sz w:val="28"/>
                <w:szCs w:val="28"/>
              </w:rPr>
              <w:t xml:space="preserve"> зарубок от </w:t>
            </w:r>
            <w:r w:rsidR="00287D3B">
              <w:rPr>
                <w:sz w:val="28"/>
                <w:szCs w:val="28"/>
              </w:rPr>
              <w:t xml:space="preserve">долота или </w:t>
            </w:r>
            <w:r>
              <w:rPr>
                <w:sz w:val="28"/>
                <w:szCs w:val="28"/>
              </w:rPr>
              <w:t>стамески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 xml:space="preserve">Создавать пазы под шип правильного размера </w:t>
            </w:r>
            <w:r w:rsidR="007F647D">
              <w:rPr>
                <w:sz w:val="28"/>
                <w:szCs w:val="28"/>
              </w:rPr>
              <w:t>для соединения с допустимыми зазорами</w:t>
            </w:r>
          </w:p>
          <w:p w:rsidR="00FF0F96" w:rsidRPr="00FF0F96" w:rsidRDefault="00287D3B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шипы вручную, с помощью электрифицированного</w:t>
            </w:r>
            <w:r w:rsidRPr="00FF0F96">
              <w:rPr>
                <w:sz w:val="28"/>
                <w:szCs w:val="28"/>
              </w:rPr>
              <w:t xml:space="preserve"> инструмент</w:t>
            </w:r>
            <w:r>
              <w:rPr>
                <w:sz w:val="28"/>
                <w:szCs w:val="28"/>
              </w:rPr>
              <w:t xml:space="preserve">а и д/о станков  </w:t>
            </w:r>
            <w:r w:rsidR="00FF0F96" w:rsidRPr="00FF0F96">
              <w:rPr>
                <w:sz w:val="28"/>
                <w:szCs w:val="28"/>
              </w:rPr>
              <w:t xml:space="preserve">(например, традиционная шипорезная пила, японская </w:t>
            </w:r>
            <w:r>
              <w:rPr>
                <w:sz w:val="28"/>
                <w:szCs w:val="28"/>
              </w:rPr>
              <w:t>пила, ленточно</w:t>
            </w:r>
            <w:r w:rsidR="00FF0F96" w:rsidRPr="00FF0F96">
              <w:rPr>
                <w:sz w:val="28"/>
                <w:szCs w:val="28"/>
              </w:rPr>
              <w:t>пильный станок</w:t>
            </w:r>
            <w:r w:rsidR="00FF0F96">
              <w:rPr>
                <w:sz w:val="28"/>
                <w:szCs w:val="28"/>
              </w:rPr>
              <w:t>)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>Создавать шипы, параллельные и лишенн</w:t>
            </w:r>
            <w:r>
              <w:rPr>
                <w:sz w:val="28"/>
                <w:szCs w:val="28"/>
              </w:rPr>
              <w:t>ые зарубок от пилы или стамески</w:t>
            </w:r>
          </w:p>
          <w:p w:rsidR="005C6A23" w:rsidRPr="00755067" w:rsidRDefault="00FF0F96" w:rsidP="00287D3B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Создавать хорошо подогнанные друг к другу соединения</w:t>
            </w:r>
            <w:r w:rsidR="00287D3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которые можно соединить методом «плотная посадка»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755067" w:rsidP="00287D3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Внешние </w:t>
            </w:r>
            <w:r w:rsidR="00287D3B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соединения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B6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755067" w:rsidRDefault="00755067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7D3B" w:rsidRPr="0078107F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78107F">
              <w:rPr>
                <w:rFonts w:ascii="Times New Roman" w:eastAsia="Times New Roman" w:hAnsi="Times New Roman"/>
                <w:sz w:val="28"/>
                <w:szCs w:val="28"/>
              </w:rPr>
              <w:t>нешни</w:t>
            </w:r>
            <w:r w:rsidR="00287D3B" w:rsidRPr="0078107F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8107F">
              <w:rPr>
                <w:rFonts w:ascii="Times New Roman" w:eastAsia="Times New Roman" w:hAnsi="Times New Roman"/>
                <w:sz w:val="28"/>
                <w:szCs w:val="28"/>
              </w:rPr>
              <w:t xml:space="preserve"> соединени</w:t>
            </w:r>
            <w:r w:rsidR="00287D3B" w:rsidRPr="0078107F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C6A23"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10F32" w:rsidRPr="00FD520E" w:rsidRDefault="00E10F32" w:rsidP="00E10F3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Материалы и процессы их изготовления;</w:t>
            </w:r>
          </w:p>
          <w:p w:rsidR="00C13095" w:rsidRPr="00ED3C4A" w:rsidRDefault="00C13095" w:rsidP="00C13095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520E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FD520E">
              <w:rPr>
                <w:sz w:val="28"/>
                <w:szCs w:val="28"/>
              </w:rPr>
              <w:t xml:space="preserve"> техники безопасности при работе с</w:t>
            </w:r>
            <w:r>
              <w:rPr>
                <w:sz w:val="28"/>
                <w:szCs w:val="28"/>
              </w:rPr>
              <w:t>:</w:t>
            </w:r>
            <w:r w:rsidRPr="00FD520E">
              <w:rPr>
                <w:sz w:val="28"/>
                <w:szCs w:val="28"/>
              </w:rPr>
              <w:t xml:space="preserve"> </w:t>
            </w:r>
          </w:p>
          <w:p w:rsidR="00C13095" w:rsidRPr="00ED3C4A" w:rsidRDefault="00C13095" w:rsidP="00C13095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учным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столярным инструментом</w:t>
            </w: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13095" w:rsidRPr="00ED3C4A" w:rsidRDefault="00C13095" w:rsidP="00C13095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электрифицированным инструментом</w:t>
            </w:r>
          </w:p>
          <w:p w:rsidR="00C13095" w:rsidRPr="00ED3C4A" w:rsidRDefault="00C13095" w:rsidP="00C13095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деревообрабатывающими станками </w:t>
            </w:r>
          </w:p>
          <w:p w:rsidR="005C6A23" w:rsidRPr="00755067" w:rsidRDefault="00C13095" w:rsidP="0078107F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00C28">
              <w:rPr>
                <w:rFonts w:ascii="Times New Roman" w:eastAsia="Times New Roman" w:hAnsi="Times New Roman"/>
                <w:sz w:val="28"/>
                <w:szCs w:val="28"/>
              </w:rPr>
              <w:t>еобходимость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плотно </w:t>
            </w:r>
            <w:r w:rsidR="00D00C28">
              <w:rPr>
                <w:rFonts w:ascii="Times New Roman" w:eastAsia="Times New Roman" w:hAnsi="Times New Roman"/>
                <w:sz w:val="28"/>
                <w:szCs w:val="28"/>
              </w:rPr>
              <w:t>подогнанных</w:t>
            </w:r>
            <w:r w:rsidR="0078107F"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соединений для формирования поверхности под склейку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22037" w:rsidRPr="00C22037" w:rsidRDefault="00C22037" w:rsidP="00C2203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2037">
              <w:rPr>
                <w:sz w:val="28"/>
                <w:szCs w:val="28"/>
              </w:rPr>
              <w:t>Сформировать соед</w:t>
            </w:r>
            <w:r w:rsidR="000605C5">
              <w:rPr>
                <w:sz w:val="28"/>
                <w:szCs w:val="28"/>
              </w:rPr>
              <w:t>инение, соответствующее чертежу</w:t>
            </w:r>
          </w:p>
          <w:p w:rsidR="00C22037" w:rsidRPr="00C22037" w:rsidRDefault="00C22037" w:rsidP="00C2203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2037">
              <w:rPr>
                <w:sz w:val="28"/>
                <w:szCs w:val="28"/>
              </w:rPr>
              <w:t xml:space="preserve">Сформировать </w:t>
            </w:r>
            <w:r w:rsidR="000605C5">
              <w:rPr>
                <w:sz w:val="28"/>
                <w:szCs w:val="28"/>
              </w:rPr>
              <w:t>законченные соединения</w:t>
            </w:r>
          </w:p>
          <w:p w:rsidR="00C22037" w:rsidRPr="00C22037" w:rsidRDefault="00C22037" w:rsidP="00C2203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2037">
              <w:rPr>
                <w:sz w:val="28"/>
                <w:szCs w:val="28"/>
              </w:rPr>
              <w:lastRenderedPageBreak/>
              <w:t>Сформировать соединения с максимальным зазором 0,15 мм в</w:t>
            </w:r>
            <w:r w:rsidR="000605C5">
              <w:rPr>
                <w:sz w:val="28"/>
                <w:szCs w:val="28"/>
              </w:rPr>
              <w:t xml:space="preserve"> плечах</w:t>
            </w:r>
          </w:p>
          <w:p w:rsidR="005C6A23" w:rsidRPr="00C22037" w:rsidRDefault="00C22037" w:rsidP="00E10F32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22037">
              <w:rPr>
                <w:rFonts w:ascii="Times New Roman" w:eastAsia="Times New Roman" w:hAnsi="Times New Roman"/>
                <w:sz w:val="28"/>
                <w:szCs w:val="28"/>
              </w:rPr>
              <w:t>Сформировать соединения, не имеющие заполнений или пустот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ED18F9" w:rsidRDefault="000605C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0605C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Отделка поверхности и внешний вид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7145B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ED18F9" w:rsidRDefault="000605C5" w:rsidP="00B05F3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Понимание того, что клиент основывает свою оценку проекта на внешнем виде готового столярного изделия</w:t>
            </w:r>
            <w:r w:rsidRPr="000605C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изделие, коробление которого</w:t>
            </w:r>
            <w:r>
              <w:rPr>
                <w:sz w:val="28"/>
                <w:szCs w:val="28"/>
              </w:rPr>
              <w:t xml:space="preserve"> находится в пределах 1</w:t>
            </w:r>
            <w:r w:rsidR="00282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мм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изделие, погрешность углов которого не превышает 1</w:t>
            </w:r>
            <w:r w:rsidR="00282DD0">
              <w:rPr>
                <w:sz w:val="28"/>
                <w:szCs w:val="28"/>
              </w:rPr>
              <w:t xml:space="preserve"> </w:t>
            </w:r>
            <w:r w:rsidRPr="000605C5">
              <w:rPr>
                <w:sz w:val="28"/>
                <w:szCs w:val="28"/>
              </w:rPr>
              <w:t>мм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 xml:space="preserve">Создать столярное изделие, </w:t>
            </w:r>
            <w:r w:rsidR="00282DD0">
              <w:rPr>
                <w:sz w:val="28"/>
                <w:szCs w:val="28"/>
              </w:rPr>
              <w:t>детали</w:t>
            </w:r>
            <w:r w:rsidRPr="000605C5">
              <w:rPr>
                <w:sz w:val="28"/>
                <w:szCs w:val="28"/>
              </w:rPr>
              <w:t xml:space="preserve"> которого </w:t>
            </w:r>
            <w:r w:rsidR="00282DD0">
              <w:rPr>
                <w:sz w:val="28"/>
                <w:szCs w:val="28"/>
              </w:rPr>
              <w:t>в местах сопряжений не имеют провесов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 с последоват</w:t>
            </w:r>
            <w:r>
              <w:rPr>
                <w:sz w:val="28"/>
                <w:szCs w:val="28"/>
              </w:rPr>
              <w:t>ельностью гнутых форм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 с</w:t>
            </w:r>
            <w:r>
              <w:rPr>
                <w:sz w:val="28"/>
                <w:szCs w:val="28"/>
              </w:rPr>
              <w:t xml:space="preserve"> идеально подогнанными </w:t>
            </w:r>
            <w:r w:rsidR="00430C88">
              <w:rPr>
                <w:sz w:val="28"/>
                <w:szCs w:val="28"/>
              </w:rPr>
              <w:t>деталями</w:t>
            </w:r>
          </w:p>
          <w:p w:rsidR="005C6A23" w:rsidRPr="000605C5" w:rsidRDefault="000605C5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05C5">
              <w:rPr>
                <w:rFonts w:ascii="Times New Roman" w:eastAsia="Times New Roman" w:hAnsi="Times New Roman"/>
                <w:sz w:val="28"/>
                <w:szCs w:val="28"/>
              </w:rPr>
              <w:t xml:space="preserve">Создать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стол</w:t>
            </w:r>
            <w:r w:rsidRPr="000605C5">
              <w:rPr>
                <w:rFonts w:ascii="Times New Roman" w:eastAsia="Times New Roman" w:hAnsi="Times New Roman"/>
                <w:sz w:val="28"/>
                <w:szCs w:val="28"/>
              </w:rPr>
              <w:t>ярное изделие без сколов или других дефектов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DF12CC" w:rsidRDefault="00DF12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DF12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Соответствие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7145B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F12CC" w:rsidRPr="00DF12CC" w:rsidRDefault="00DF12CC" w:rsidP="00DF12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12CC">
              <w:rPr>
                <w:sz w:val="28"/>
                <w:szCs w:val="28"/>
              </w:rPr>
              <w:t xml:space="preserve">Интерпретация чертежей согласно стандартам </w:t>
            </w:r>
            <w:r w:rsidRPr="00DF12CC">
              <w:rPr>
                <w:sz w:val="28"/>
                <w:szCs w:val="28"/>
                <w:lang w:val="en-US"/>
              </w:rPr>
              <w:t>ISO</w:t>
            </w:r>
          </w:p>
          <w:p w:rsidR="005C6A23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eastAsia="Times New Roman" w:hAnsi="Times New Roman"/>
                <w:sz w:val="28"/>
                <w:szCs w:val="28"/>
              </w:rPr>
              <w:t>Понимание того, что готовая работа должна соответствовать заказу клиента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F12CC">
        <w:tc>
          <w:tcPr>
            <w:tcW w:w="529" w:type="dxa"/>
            <w:tcBorders>
              <w:bottom w:val="single" w:sz="12" w:space="0" w:color="5B9BD5" w:themeColor="accent1"/>
            </w:tcBorders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  <w:tcBorders>
              <w:bottom w:val="single" w:sz="12" w:space="0" w:color="5B9BD5" w:themeColor="accent1"/>
            </w:tcBorders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F12CC" w:rsidRPr="00DF12CC" w:rsidRDefault="00DF12CC" w:rsidP="00DF12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12CC">
              <w:rPr>
                <w:sz w:val="28"/>
                <w:szCs w:val="28"/>
              </w:rPr>
              <w:t>Обеспечить точное соотве</w:t>
            </w:r>
            <w:r>
              <w:rPr>
                <w:sz w:val="28"/>
                <w:szCs w:val="28"/>
              </w:rPr>
              <w:t>тствие готового изделия чертежу</w:t>
            </w:r>
          </w:p>
          <w:p w:rsidR="005C6A23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eastAsia="Times New Roman" w:hAnsi="Times New Roman"/>
                <w:sz w:val="28"/>
                <w:szCs w:val="28"/>
              </w:rPr>
              <w:t>Обеспечить отсутствие в готовом изделии сращений или следов починки</w:t>
            </w:r>
          </w:p>
        </w:tc>
        <w:tc>
          <w:tcPr>
            <w:tcW w:w="1274" w:type="dxa"/>
            <w:tcBorders>
              <w:bottom w:val="single" w:sz="12" w:space="0" w:color="5B9BD5" w:themeColor="accent1"/>
            </w:tcBorders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F12CC">
        <w:tc>
          <w:tcPr>
            <w:tcW w:w="529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Размер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F12CC" w:rsidRPr="00ED18F9" w:rsidRDefault="007145B3" w:rsidP="005C6A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DF12CC" w:rsidRPr="009955F8" w:rsidTr="00D37CEC">
        <w:tc>
          <w:tcPr>
            <w:tcW w:w="529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F12CC" w:rsidRPr="00DF12CC" w:rsidRDefault="00DF12CC" w:rsidP="00DF12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12CC">
              <w:rPr>
                <w:sz w:val="28"/>
                <w:szCs w:val="28"/>
              </w:rPr>
              <w:t xml:space="preserve">Интерпретация чертежей согласно стандартам </w:t>
            </w:r>
            <w:r w:rsidRPr="00DF12CC">
              <w:rPr>
                <w:sz w:val="28"/>
                <w:szCs w:val="28"/>
                <w:lang w:val="en-US"/>
              </w:rPr>
              <w:t>ISO</w:t>
            </w:r>
          </w:p>
          <w:p w:rsidR="00DF12CC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hAnsi="Times New Roman"/>
                <w:sz w:val="28"/>
                <w:szCs w:val="28"/>
              </w:rPr>
              <w:t>Демонстрация того, что размеры очень важны, т.к. изделие неправильного размера не подойдёт к тому месту, куда оно должно быть установлено</w:t>
            </w:r>
          </w:p>
        </w:tc>
        <w:tc>
          <w:tcPr>
            <w:tcW w:w="1274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F12CC">
        <w:tc>
          <w:tcPr>
            <w:tcW w:w="529" w:type="dxa"/>
            <w:tcBorders>
              <w:bottom w:val="single" w:sz="12" w:space="0" w:color="5B9BD5" w:themeColor="accent1"/>
            </w:tcBorders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  <w:tcBorders>
              <w:bottom w:val="single" w:sz="12" w:space="0" w:color="5B9BD5" w:themeColor="accent1"/>
            </w:tcBorders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F12CC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hAnsi="Times New Roman"/>
                <w:sz w:val="28"/>
                <w:szCs w:val="28"/>
              </w:rPr>
              <w:t>Создать столярное изделие, отклонения которого от заданных размеров не превышают 1 мм</w:t>
            </w:r>
          </w:p>
        </w:tc>
        <w:tc>
          <w:tcPr>
            <w:tcW w:w="1274" w:type="dxa"/>
            <w:tcBorders>
              <w:bottom w:val="single" w:sz="12" w:space="0" w:color="5B9BD5" w:themeColor="accent1"/>
            </w:tcBorders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F12CC">
        <w:tc>
          <w:tcPr>
            <w:tcW w:w="529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F12CC" w:rsidRPr="00ED18F9" w:rsidRDefault="007145B3" w:rsidP="005C6A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F12CC" w:rsidRPr="009955F8" w:rsidTr="00D37CEC">
        <w:tc>
          <w:tcPr>
            <w:tcW w:w="529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E3862" w:rsidRPr="006E3862" w:rsidRDefault="006E3862" w:rsidP="006E386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E3862">
              <w:rPr>
                <w:sz w:val="28"/>
                <w:szCs w:val="28"/>
              </w:rPr>
              <w:t>Знание материа</w:t>
            </w:r>
            <w:r>
              <w:rPr>
                <w:sz w:val="28"/>
                <w:szCs w:val="28"/>
              </w:rPr>
              <w:t>лов и процессов их изготовления</w:t>
            </w:r>
          </w:p>
          <w:p w:rsidR="00DF12CC" w:rsidRPr="00DF12CC" w:rsidRDefault="006E3862" w:rsidP="00695299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E3862">
              <w:rPr>
                <w:rFonts w:ascii="Times New Roman" w:hAnsi="Times New Roman"/>
                <w:sz w:val="28"/>
                <w:szCs w:val="28"/>
              </w:rPr>
              <w:t xml:space="preserve">Понимание </w:t>
            </w:r>
            <w:r w:rsidR="00695299">
              <w:rPr>
                <w:rFonts w:ascii="Times New Roman" w:hAnsi="Times New Roman"/>
                <w:sz w:val="28"/>
                <w:szCs w:val="28"/>
              </w:rPr>
              <w:t xml:space="preserve">необходимости </w:t>
            </w:r>
            <w:r w:rsidRPr="006E3862">
              <w:rPr>
                <w:rFonts w:ascii="Times New Roman" w:hAnsi="Times New Roman"/>
                <w:sz w:val="28"/>
                <w:szCs w:val="28"/>
              </w:rPr>
              <w:t xml:space="preserve">безотходного </w:t>
            </w:r>
            <w:r w:rsidR="00695299">
              <w:rPr>
                <w:rFonts w:ascii="Times New Roman" w:hAnsi="Times New Roman"/>
                <w:sz w:val="28"/>
                <w:szCs w:val="28"/>
              </w:rPr>
              <w:t xml:space="preserve">и бережливого </w:t>
            </w:r>
            <w:r w:rsidRPr="006E3862">
              <w:rPr>
                <w:rFonts w:ascii="Times New Roman" w:hAnsi="Times New Roman"/>
                <w:sz w:val="28"/>
                <w:szCs w:val="28"/>
              </w:rPr>
              <w:t>производства</w:t>
            </w:r>
          </w:p>
        </w:tc>
        <w:tc>
          <w:tcPr>
            <w:tcW w:w="1274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37CEC">
        <w:tc>
          <w:tcPr>
            <w:tcW w:w="529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F12CC" w:rsidRPr="006E3862" w:rsidRDefault="006E3862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E3862">
              <w:rPr>
                <w:rFonts w:ascii="Times New Roman" w:hAnsi="Times New Roman"/>
                <w:sz w:val="28"/>
                <w:szCs w:val="28"/>
              </w:rPr>
              <w:t>Создать столярное изделие, не допуская ошибок, требующих замен древесины</w:t>
            </w:r>
          </w:p>
        </w:tc>
        <w:tc>
          <w:tcPr>
            <w:tcW w:w="1274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D37CEC">
        <w:tc>
          <w:tcPr>
            <w:tcW w:w="529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489607686"/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>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>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225A1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A91D4B" w:rsidRPr="00ED18F9">
        <w:rPr>
          <w:rFonts w:ascii="Times New Roman" w:hAnsi="Times New Roman" w:cs="Times New Roman"/>
          <w:sz w:val="28"/>
          <w:szCs w:val="28"/>
        </w:rPr>
        <w:t>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</w:t>
      </w:r>
      <w:r w:rsidR="00225A13">
        <w:rPr>
          <w:rFonts w:ascii="Times New Roman" w:hAnsi="Times New Roman" w:cs="Times New Roman"/>
          <w:sz w:val="28"/>
          <w:szCs w:val="28"/>
        </w:rPr>
        <w:t>объективные и субъективные (мнение судей) аспекты</w:t>
      </w:r>
      <w:r w:rsidRPr="00ED18F9">
        <w:rPr>
          <w:rFonts w:ascii="Times New Roman" w:hAnsi="Times New Roman" w:cs="Times New Roman"/>
          <w:sz w:val="28"/>
          <w:szCs w:val="28"/>
        </w:rPr>
        <w:t>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6E5151" w:rsidRDefault="006E5151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65039" w:rsidRDefault="0026503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65039" w:rsidRDefault="0026503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5"/>
        <w:gridCol w:w="600"/>
        <w:gridCol w:w="600"/>
        <w:gridCol w:w="600"/>
        <w:gridCol w:w="601"/>
        <w:gridCol w:w="601"/>
        <w:gridCol w:w="601"/>
        <w:gridCol w:w="601"/>
        <w:gridCol w:w="601"/>
        <w:gridCol w:w="601"/>
        <w:gridCol w:w="922"/>
        <w:gridCol w:w="1209"/>
        <w:gridCol w:w="921"/>
      </w:tblGrid>
      <w:tr w:rsidR="00AE6AB7" w:rsidRPr="009955F8" w:rsidTr="00D72B7F">
        <w:trPr>
          <w:cantSplit/>
          <w:trHeight w:val="1538"/>
          <w:jc w:val="center"/>
        </w:trPr>
        <w:tc>
          <w:tcPr>
            <w:tcW w:w="7021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D72B7F" w:rsidRDefault="00AE6AB7" w:rsidP="00F96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D72B7F" w:rsidRDefault="00D72B7F" w:rsidP="00AE6AB7">
            <w:pPr>
              <w:jc w:val="center"/>
            </w:pPr>
            <w:r>
              <w:t>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D72B7F">
            <w:pPr>
              <w:jc w:val="center"/>
            </w:pPr>
            <w:r w:rsidRPr="009955F8">
              <w:t>2</w:t>
            </w:r>
            <w:r w:rsidR="00D72B7F">
              <w:t>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1E3EDB" w:rsidRDefault="001E3EDB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B05F34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B05F34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</w:t>
      </w:r>
      <w:r w:rsidR="001D24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976">
        <w:rPr>
          <w:rFonts w:ascii="Times New Roman" w:hAnsi="Times New Roman"/>
          <w:sz w:val="28"/>
          <w:szCs w:val="28"/>
          <w:lang w:val="ru-RU"/>
        </w:rPr>
        <w:t>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6"/>
      <w:r w:rsidR="002A7E81">
        <w:rPr>
          <w:rFonts w:ascii="Times New Roman" w:hAnsi="Times New Roman"/>
          <w:szCs w:val="28"/>
        </w:rPr>
        <w:t xml:space="preserve"> (ОБЪЕКТИВНАЯ ОЦЕНКА)</w:t>
      </w:r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1D243F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Чертёж</w:t>
            </w: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Внутренние соединения</w:t>
            </w: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</w:t>
            </w:r>
            <w:r w:rsidR="00460205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2A7E81" w:rsidP="002A7E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Внешние</w:t>
            </w:r>
            <w:r w:rsidR="00460205">
              <w:rPr>
                <w:b/>
                <w:sz w:val="28"/>
                <w:szCs w:val="28"/>
              </w:rPr>
              <w:t xml:space="preserve"> соединения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Отделка и внешний вид</w:t>
            </w: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Соответствие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1D243F" w:rsidRDefault="001D243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1A2FED" w:rsidRPr="001A2FED" w:rsidRDefault="00DE39D8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А. </w:t>
      </w:r>
      <w:r w:rsidR="001A2FED">
        <w:rPr>
          <w:rFonts w:ascii="Times New Roman" w:hAnsi="Times New Roman" w:cs="Times New Roman"/>
          <w:b/>
          <w:sz w:val="28"/>
          <w:szCs w:val="28"/>
        </w:rPr>
        <w:t>Чертёж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 xml:space="preserve">Проверке подвергается </w:t>
      </w:r>
      <w:r w:rsidR="008A4AC7">
        <w:rPr>
          <w:rFonts w:ascii="Times New Roman" w:hAnsi="Times New Roman" w:cs="Times New Roman"/>
          <w:sz w:val="28"/>
          <w:szCs w:val="28"/>
        </w:rPr>
        <w:t>способность участника начерти</w:t>
      </w:r>
      <w:r w:rsidRPr="001A2FED">
        <w:rPr>
          <w:rFonts w:ascii="Times New Roman" w:hAnsi="Times New Roman" w:cs="Times New Roman"/>
          <w:sz w:val="28"/>
          <w:szCs w:val="28"/>
        </w:rPr>
        <w:t>ть проект. Критерии начисления баллов включают в себя: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Вычерчивание линий;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Детали соединения;</w:t>
      </w:r>
    </w:p>
    <w:p w:rsidR="00DE39D8" w:rsidRDefault="001A2FED" w:rsidP="001A2FED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FED">
        <w:rPr>
          <w:rFonts w:ascii="Times New Roman" w:hAnsi="Times New Roman"/>
          <w:sz w:val="28"/>
          <w:szCs w:val="28"/>
        </w:rPr>
        <w:t>Размеры</w:t>
      </w:r>
      <w:r w:rsidR="00DE39D8" w:rsidRPr="001A2FED">
        <w:rPr>
          <w:rFonts w:ascii="Times New Roman" w:hAnsi="Times New Roman"/>
          <w:sz w:val="28"/>
          <w:szCs w:val="28"/>
        </w:rPr>
        <w:t>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FED">
        <w:rPr>
          <w:rFonts w:ascii="Times New Roman" w:hAnsi="Times New Roman" w:cs="Times New Roman"/>
          <w:b/>
          <w:i/>
          <w:sz w:val="28"/>
          <w:szCs w:val="28"/>
        </w:rPr>
        <w:t>Вычерчивание линий: су</w:t>
      </w:r>
      <w:r w:rsidR="00474B09">
        <w:rPr>
          <w:rFonts w:ascii="Times New Roman" w:hAnsi="Times New Roman" w:cs="Times New Roman"/>
          <w:b/>
          <w:i/>
          <w:sz w:val="28"/>
          <w:szCs w:val="28"/>
        </w:rPr>
        <w:t>дейск</w:t>
      </w:r>
      <w:r w:rsidRPr="001A2FED">
        <w:rPr>
          <w:rFonts w:ascii="Times New Roman" w:hAnsi="Times New Roman" w:cs="Times New Roman"/>
          <w:b/>
          <w:i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 (</w:t>
      </w:r>
      <w:r w:rsidR="008A4AC7">
        <w:rPr>
          <w:rFonts w:ascii="Times New Roman" w:hAnsi="Times New Roman" w:cs="Times New Roman"/>
          <w:sz w:val="28"/>
          <w:szCs w:val="28"/>
        </w:rPr>
        <w:t>для ясности на конкурсной площадке</w:t>
      </w:r>
      <w:r w:rsidRPr="001A2FED">
        <w:rPr>
          <w:rFonts w:ascii="Times New Roman" w:hAnsi="Times New Roman" w:cs="Times New Roman"/>
          <w:sz w:val="28"/>
          <w:szCs w:val="28"/>
        </w:rPr>
        <w:t xml:space="preserve"> </w:t>
      </w:r>
      <w:r w:rsidR="008A4AC7">
        <w:rPr>
          <w:rFonts w:ascii="Times New Roman" w:hAnsi="Times New Roman" w:cs="Times New Roman"/>
          <w:sz w:val="28"/>
          <w:szCs w:val="28"/>
        </w:rPr>
        <w:t xml:space="preserve">должен быть распечатан </w:t>
      </w:r>
      <w:r w:rsidR="004343BD">
        <w:rPr>
          <w:rFonts w:ascii="Times New Roman" w:hAnsi="Times New Roman" w:cs="Times New Roman"/>
          <w:sz w:val="28"/>
          <w:szCs w:val="28"/>
        </w:rPr>
        <w:t>чертеж в формате не менее А3</w:t>
      </w:r>
      <w:r w:rsidRPr="001A2FED">
        <w:rPr>
          <w:rFonts w:ascii="Times New Roman" w:hAnsi="Times New Roman" w:cs="Times New Roman"/>
          <w:sz w:val="28"/>
          <w:szCs w:val="28"/>
        </w:rPr>
        <w:t>):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Присутствуют следующие типы линий: линии видимого контура, линии невидимого контура, линии разрыва и т.п.;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Правильная толщина линий;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Опрятность.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FED">
        <w:rPr>
          <w:rFonts w:ascii="Times New Roman" w:hAnsi="Times New Roman" w:cs="Times New Roman"/>
          <w:b/>
          <w:i/>
          <w:sz w:val="28"/>
          <w:szCs w:val="28"/>
        </w:rPr>
        <w:t>Детали соединений: су</w:t>
      </w:r>
      <w:r w:rsidR="00474B09">
        <w:rPr>
          <w:rFonts w:ascii="Times New Roman" w:hAnsi="Times New Roman" w:cs="Times New Roman"/>
          <w:b/>
          <w:i/>
          <w:sz w:val="28"/>
          <w:szCs w:val="28"/>
        </w:rPr>
        <w:t>дейск</w:t>
      </w:r>
      <w:r w:rsidRPr="001A2FED">
        <w:rPr>
          <w:rFonts w:ascii="Times New Roman" w:hAnsi="Times New Roman" w:cs="Times New Roman"/>
          <w:b/>
          <w:i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Геометрия и пропорции соединений указаны точно.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FED">
        <w:rPr>
          <w:rFonts w:ascii="Times New Roman" w:hAnsi="Times New Roman" w:cs="Times New Roman"/>
          <w:b/>
          <w:i/>
          <w:sz w:val="28"/>
          <w:szCs w:val="28"/>
        </w:rPr>
        <w:t xml:space="preserve">Размеры: </w:t>
      </w:r>
      <w:r w:rsidR="00474B09">
        <w:rPr>
          <w:rFonts w:ascii="Times New Roman" w:hAnsi="Times New Roman" w:cs="Times New Roman"/>
          <w:b/>
          <w:i/>
          <w:sz w:val="28"/>
          <w:szCs w:val="28"/>
        </w:rPr>
        <w:t>измерим</w:t>
      </w:r>
      <w:r w:rsidRPr="001A2FED">
        <w:rPr>
          <w:rFonts w:ascii="Times New Roman" w:hAnsi="Times New Roman" w:cs="Times New Roman"/>
          <w:b/>
          <w:i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741041" w:rsidRPr="00741041" w:rsidRDefault="00741041" w:rsidP="007410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в пределах 1 мм -</w:t>
      </w:r>
      <w:r w:rsidR="001A2FED" w:rsidRPr="001A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A2FED" w:rsidRPr="001A2FED">
        <w:rPr>
          <w:rFonts w:ascii="Times New Roman" w:hAnsi="Times New Roman" w:cs="Times New Roman"/>
          <w:sz w:val="28"/>
          <w:szCs w:val="28"/>
        </w:rPr>
        <w:t>0%;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от 1</w:t>
      </w:r>
      <w:r w:rsidR="00741041">
        <w:rPr>
          <w:rFonts w:ascii="Times New Roman" w:hAnsi="Times New Roman" w:cs="Times New Roman"/>
          <w:sz w:val="28"/>
          <w:szCs w:val="28"/>
        </w:rPr>
        <w:t xml:space="preserve"> </w:t>
      </w:r>
      <w:r w:rsidRPr="001A2FED">
        <w:rPr>
          <w:rFonts w:ascii="Times New Roman" w:hAnsi="Times New Roman" w:cs="Times New Roman"/>
          <w:sz w:val="28"/>
          <w:szCs w:val="28"/>
        </w:rPr>
        <w:t>мм до 2</w:t>
      </w:r>
      <w:r w:rsidR="00741041">
        <w:rPr>
          <w:rFonts w:ascii="Times New Roman" w:hAnsi="Times New Roman" w:cs="Times New Roman"/>
          <w:sz w:val="28"/>
          <w:szCs w:val="28"/>
        </w:rPr>
        <w:t xml:space="preserve"> мм включительно -</w:t>
      </w:r>
      <w:r w:rsidRPr="001A2FED">
        <w:rPr>
          <w:rFonts w:ascii="Times New Roman" w:hAnsi="Times New Roman" w:cs="Times New Roman"/>
          <w:sz w:val="28"/>
          <w:szCs w:val="28"/>
        </w:rPr>
        <w:t xml:space="preserve"> </w:t>
      </w:r>
      <w:r w:rsidR="00741041">
        <w:rPr>
          <w:rFonts w:ascii="Times New Roman" w:hAnsi="Times New Roman" w:cs="Times New Roman"/>
          <w:sz w:val="28"/>
          <w:szCs w:val="28"/>
        </w:rPr>
        <w:t>5</w:t>
      </w:r>
      <w:r w:rsidRPr="001A2FED">
        <w:rPr>
          <w:rFonts w:ascii="Times New Roman" w:hAnsi="Times New Roman" w:cs="Times New Roman"/>
          <w:sz w:val="28"/>
          <w:szCs w:val="28"/>
        </w:rPr>
        <w:t>0%;</w:t>
      </w:r>
    </w:p>
    <w:p w:rsidR="001A2FED" w:rsidRDefault="00895619" w:rsidP="001A2FED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2FED" w:rsidRPr="001A2FED">
        <w:rPr>
          <w:rFonts w:ascii="Times New Roman" w:hAnsi="Times New Roman"/>
          <w:sz w:val="28"/>
          <w:szCs w:val="28"/>
        </w:rPr>
        <w:t>Размеры более 2</w:t>
      </w:r>
      <w:r w:rsidR="00741041">
        <w:rPr>
          <w:rFonts w:ascii="Times New Roman" w:hAnsi="Times New Roman"/>
          <w:sz w:val="28"/>
          <w:szCs w:val="28"/>
        </w:rPr>
        <w:t xml:space="preserve"> </w:t>
      </w:r>
      <w:r w:rsidR="001A2FED" w:rsidRPr="001A2FED">
        <w:rPr>
          <w:rFonts w:ascii="Times New Roman" w:hAnsi="Times New Roman"/>
          <w:sz w:val="28"/>
          <w:szCs w:val="28"/>
        </w:rPr>
        <w:t>мм, 0%.</w:t>
      </w:r>
    </w:p>
    <w:p w:rsidR="0015521F" w:rsidRPr="00895619" w:rsidRDefault="0015521F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95619">
        <w:rPr>
          <w:rFonts w:ascii="Times New Roman" w:hAnsi="Times New Roman"/>
          <w:sz w:val="28"/>
          <w:szCs w:val="28"/>
          <w:highlight w:val="yellow"/>
        </w:rPr>
        <w:t>Следует обращать внимание на следующие аспекты:</w:t>
      </w:r>
    </w:p>
    <w:p w:rsidR="0015521F" w:rsidRPr="00895619" w:rsidRDefault="00895619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-</w:t>
      </w:r>
      <w:r w:rsidR="0015521F" w:rsidRPr="00895619">
        <w:rPr>
          <w:rFonts w:ascii="Times New Roman" w:hAnsi="Times New Roman"/>
          <w:sz w:val="28"/>
          <w:szCs w:val="28"/>
          <w:highlight w:val="yellow"/>
        </w:rPr>
        <w:t>Чертеж проверяется по завершению С-1</w:t>
      </w:r>
    </w:p>
    <w:p w:rsidR="0015521F" w:rsidRDefault="00895619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-</w:t>
      </w:r>
      <w:r w:rsidR="0015521F" w:rsidRPr="00895619">
        <w:rPr>
          <w:rFonts w:ascii="Times New Roman" w:hAnsi="Times New Roman"/>
          <w:sz w:val="28"/>
          <w:szCs w:val="28"/>
          <w:highlight w:val="yellow"/>
        </w:rPr>
        <w:t>Выносные линии, при проверке чертежа, считаются ошибкой</w:t>
      </w:r>
      <w:r w:rsidR="00A67C0C" w:rsidRPr="00895619">
        <w:rPr>
          <w:rFonts w:ascii="Times New Roman" w:hAnsi="Times New Roman"/>
          <w:sz w:val="28"/>
          <w:szCs w:val="28"/>
          <w:highlight w:val="yellow"/>
        </w:rPr>
        <w:t xml:space="preserve"> и повлекут за собой потерю баллов</w:t>
      </w:r>
      <w:r w:rsidR="0015521F">
        <w:rPr>
          <w:rFonts w:ascii="Times New Roman" w:hAnsi="Times New Roman"/>
          <w:sz w:val="28"/>
          <w:szCs w:val="28"/>
        </w:rPr>
        <w:t>.</w:t>
      </w:r>
    </w:p>
    <w:p w:rsidR="0015521F" w:rsidRPr="0015521F" w:rsidRDefault="0015521F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5521F" w:rsidRPr="001A2FED" w:rsidRDefault="0015521F" w:rsidP="0015521F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</w:rPr>
        <w:t>В. Внутренние соединения</w:t>
      </w:r>
      <w:r w:rsidR="00463E39">
        <w:rPr>
          <w:rFonts w:ascii="Times New Roman" w:hAnsi="Times New Roman" w:cs="Times New Roman"/>
          <w:b/>
          <w:sz w:val="28"/>
          <w:szCs w:val="28"/>
        </w:rPr>
        <w:t xml:space="preserve"> – судейская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способность участника сформировать точно п</w:t>
      </w:r>
      <w:r w:rsidR="004343BD">
        <w:rPr>
          <w:rFonts w:ascii="Times New Roman" w:hAnsi="Times New Roman" w:cs="Times New Roman"/>
          <w:sz w:val="28"/>
          <w:szCs w:val="28"/>
        </w:rPr>
        <w:t>одогна</w:t>
      </w:r>
      <w:r w:rsidRPr="001A2FED">
        <w:rPr>
          <w:rFonts w:ascii="Times New Roman" w:hAnsi="Times New Roman" w:cs="Times New Roman"/>
          <w:sz w:val="28"/>
          <w:szCs w:val="28"/>
        </w:rPr>
        <w:t xml:space="preserve">нные друг к другу поверхности соединения, с </w:t>
      </w:r>
      <w:r w:rsidRPr="001A2FED">
        <w:rPr>
          <w:rFonts w:ascii="Times New Roman" w:hAnsi="Times New Roman" w:cs="Times New Roman"/>
          <w:sz w:val="28"/>
          <w:szCs w:val="28"/>
        </w:rPr>
        <w:lastRenderedPageBreak/>
        <w:t xml:space="preserve">помощью ручного, электрифицированного инструмента или на </w:t>
      </w:r>
      <w:r w:rsidR="00F619CA">
        <w:rPr>
          <w:rFonts w:ascii="Times New Roman" w:hAnsi="Times New Roman" w:cs="Times New Roman"/>
          <w:sz w:val="28"/>
          <w:szCs w:val="28"/>
        </w:rPr>
        <w:t>деревообрабатывающих станках</w:t>
      </w:r>
      <w:r w:rsidRPr="001A2FED">
        <w:rPr>
          <w:rFonts w:ascii="Times New Roman" w:hAnsi="Times New Roman" w:cs="Times New Roman"/>
          <w:sz w:val="28"/>
          <w:szCs w:val="28"/>
        </w:rPr>
        <w:t>, как указано в чертеже конкурсного задания. Каждое соединение получает балл</w:t>
      </w:r>
      <w:r w:rsidR="00463E39">
        <w:rPr>
          <w:rFonts w:ascii="Times New Roman" w:hAnsi="Times New Roman" w:cs="Times New Roman"/>
          <w:sz w:val="28"/>
          <w:szCs w:val="28"/>
        </w:rPr>
        <w:t>ы</w:t>
      </w:r>
      <w:r w:rsidRPr="001A2FED">
        <w:rPr>
          <w:rFonts w:ascii="Times New Roman" w:hAnsi="Times New Roman" w:cs="Times New Roman"/>
          <w:sz w:val="28"/>
          <w:szCs w:val="28"/>
        </w:rPr>
        <w:t xml:space="preserve"> в зависимости от своей сложности.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1A2FED" w:rsidRPr="00F619CA" w:rsidRDefault="001A2FED" w:rsidP="00F619CA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9CA">
        <w:rPr>
          <w:rFonts w:ascii="Times New Roman" w:hAnsi="Times New Roman"/>
          <w:sz w:val="28"/>
          <w:szCs w:val="28"/>
        </w:rPr>
        <w:t>Соединение не соответствующее чертежу к оцениванию не допускаются;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Соединения собраны так, что внутренние поверхности стыков плотно прилегают друг к другу, но не настолько туго, чтобы их сборка требовала приложения чрезмерных усилий;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Шипы параллельны;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Пазы параллельны;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Плечи шипов без подрезов;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Геометрия внутреннего соединения соответствует чертежу, включая длину шипа и глубину паза под шип;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Поверхности имеют чистые ровные продольные или поперечные распилы без неровностей;</w:t>
      </w:r>
    </w:p>
    <w:p w:rsid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Для внутренних соединений запрещено применять силиконовую смолу, воск или другие посторонние материалы, только дерево.</w:t>
      </w:r>
    </w:p>
    <w:p w:rsidR="00670B4C" w:rsidRPr="00670B4C" w:rsidRDefault="00670B4C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0B4C">
        <w:rPr>
          <w:rFonts w:ascii="Times New Roman" w:hAnsi="Times New Roman" w:cs="Times New Roman"/>
          <w:sz w:val="28"/>
          <w:szCs w:val="28"/>
          <w:highlight w:val="yellow"/>
        </w:rPr>
        <w:t>После завершения чемпионата</w:t>
      </w:r>
      <w:r w:rsidR="006D01E7">
        <w:rPr>
          <w:rFonts w:ascii="Times New Roman" w:hAnsi="Times New Roman" w:cs="Times New Roman"/>
          <w:sz w:val="28"/>
          <w:szCs w:val="28"/>
          <w:highlight w:val="yellow"/>
        </w:rPr>
        <w:t xml:space="preserve"> (точка стоп)</w:t>
      </w:r>
      <w:r w:rsidRPr="00670B4C">
        <w:rPr>
          <w:rFonts w:ascii="Times New Roman" w:hAnsi="Times New Roman" w:cs="Times New Roman"/>
          <w:sz w:val="28"/>
          <w:szCs w:val="28"/>
          <w:highlight w:val="yellow"/>
        </w:rPr>
        <w:t xml:space="preserve"> внутренние соединения не проверяются.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463E39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Внешние соединения -</w:t>
      </w:r>
      <w:r w:rsidR="001A2FED" w:rsidRPr="001A2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B09">
        <w:rPr>
          <w:rFonts w:ascii="Times New Roman" w:hAnsi="Times New Roman" w:cs="Times New Roman"/>
          <w:b/>
          <w:sz w:val="28"/>
          <w:szCs w:val="28"/>
        </w:rPr>
        <w:t>измерим</w:t>
      </w:r>
      <w:r w:rsidR="001A2FED" w:rsidRPr="001A2FED">
        <w:rPr>
          <w:rFonts w:ascii="Times New Roman" w:hAnsi="Times New Roman" w:cs="Times New Roman"/>
          <w:b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умение участника собрать готовое изделие с хорошими крепкими соединениями, без люфтов.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Зазоры во внешних стыках;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Соединение соответствует чертежу;</w:t>
      </w:r>
    </w:p>
    <w:p w:rsid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Соединение является полным.</w:t>
      </w:r>
    </w:p>
    <w:p w:rsidR="00670B4C" w:rsidRPr="001A2FED" w:rsidRDefault="00670B4C" w:rsidP="003C16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268"/>
      </w:tblGrid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b/>
                <w:sz w:val="28"/>
                <w:szCs w:val="28"/>
              </w:rPr>
              <w:t>Погрешность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В пределах 0,15</w:t>
            </w:r>
            <w:r w:rsidR="00D1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1A2FED" w:rsidRDefault="001A2FED" w:rsidP="0067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 0,</w:t>
            </w:r>
            <w:r w:rsidR="00670B4C" w:rsidRPr="003C16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="00D12D3B" w:rsidRPr="003C16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3C16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мм</w:t>
            </w:r>
            <w:r w:rsidR="00474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1A2FED" w:rsidRDefault="00463E39" w:rsidP="00670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Более 0,</w:t>
            </w:r>
            <w:r w:rsidR="00670B4C" w:rsidRPr="003C16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="00D12D3B" w:rsidRPr="003C16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1A2FED" w:rsidRPr="003C16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мм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6D01E7" w:rsidRDefault="006D01E7" w:rsidP="006D01E7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01E7" w:rsidRDefault="006D01E7" w:rsidP="006D01E7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01E7" w:rsidRDefault="006D01E7" w:rsidP="006D01E7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Соответствее чертежу</w:t>
      </w:r>
    </w:p>
    <w:p w:rsidR="006D01E7" w:rsidRDefault="006D01E7" w:rsidP="006D01E7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01E7" w:rsidRDefault="003C1605" w:rsidP="003C16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1605">
        <w:rPr>
          <w:rFonts w:ascii="Times New Roman" w:hAnsi="Times New Roman" w:cs="Times New Roman"/>
          <w:sz w:val="28"/>
          <w:szCs w:val="28"/>
          <w:highlight w:val="yellow"/>
        </w:rPr>
        <w:t xml:space="preserve">Соединение изготовленно по чертежу -100% . </w:t>
      </w:r>
    </w:p>
    <w:p w:rsidR="003C1605" w:rsidRPr="003C1605" w:rsidRDefault="003C1605" w:rsidP="003C16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1605">
        <w:rPr>
          <w:rFonts w:ascii="Times New Roman" w:hAnsi="Times New Roman" w:cs="Times New Roman"/>
          <w:sz w:val="28"/>
          <w:szCs w:val="28"/>
          <w:highlight w:val="yellow"/>
        </w:rPr>
        <w:t>Соединение изготовленно по чертежу, но имеется смещение шипа или проушины - 0%.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Примечание:</w:t>
      </w:r>
    </w:p>
    <w:p w:rsidR="004B49EE" w:rsidRDefault="004B49EE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ремонта соединение оценивается после согласования экспертов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Наличие любых наполнителей или проколов в пазах = 0%</w:t>
      </w:r>
    </w:p>
    <w:p w:rsid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Использование во внутренних соединениях силиконовой смолы, воска или других посторонних материалов = 0%.</w:t>
      </w:r>
    </w:p>
    <w:p w:rsidR="00895619" w:rsidRPr="00895619" w:rsidRDefault="00895619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5619">
        <w:rPr>
          <w:rFonts w:ascii="Times New Roman" w:hAnsi="Times New Roman" w:cs="Times New Roman"/>
          <w:sz w:val="28"/>
          <w:szCs w:val="28"/>
          <w:highlight w:val="yellow"/>
        </w:rPr>
        <w:t>Соединение</w:t>
      </w:r>
      <w:r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895619">
        <w:rPr>
          <w:rFonts w:ascii="Times New Roman" w:hAnsi="Times New Roman" w:cs="Times New Roman"/>
          <w:sz w:val="28"/>
          <w:szCs w:val="28"/>
          <w:highlight w:val="yellow"/>
        </w:rPr>
        <w:t xml:space="preserve"> выполненное не по чертежу или </w:t>
      </w:r>
      <w:r w:rsidR="00D80425">
        <w:rPr>
          <w:rFonts w:ascii="Times New Roman" w:hAnsi="Times New Roman" w:cs="Times New Roman"/>
          <w:sz w:val="28"/>
          <w:szCs w:val="28"/>
          <w:highlight w:val="yellow"/>
        </w:rPr>
        <w:t xml:space="preserve">которое </w:t>
      </w:r>
      <w:r w:rsidRPr="00895619">
        <w:rPr>
          <w:rFonts w:ascii="Times New Roman" w:hAnsi="Times New Roman" w:cs="Times New Roman"/>
          <w:sz w:val="28"/>
          <w:szCs w:val="28"/>
          <w:highlight w:val="yellow"/>
        </w:rPr>
        <w:t>не было сдано на проверку</w:t>
      </w:r>
      <w:r w:rsidR="00D80425">
        <w:rPr>
          <w:rFonts w:ascii="Times New Roman" w:hAnsi="Times New Roman" w:cs="Times New Roman"/>
          <w:sz w:val="28"/>
          <w:szCs w:val="28"/>
          <w:highlight w:val="yellow"/>
        </w:rPr>
        <w:t xml:space="preserve"> перед сборкой на клей</w:t>
      </w:r>
      <w:r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895619">
        <w:rPr>
          <w:rFonts w:ascii="Times New Roman" w:hAnsi="Times New Roman" w:cs="Times New Roman"/>
          <w:sz w:val="28"/>
          <w:szCs w:val="28"/>
          <w:highlight w:val="yellow"/>
        </w:rPr>
        <w:t xml:space="preserve"> допускается к проверке внешнего соединения</w:t>
      </w:r>
      <w:r>
        <w:rPr>
          <w:rFonts w:ascii="Times New Roman" w:hAnsi="Times New Roman" w:cs="Times New Roman"/>
          <w:sz w:val="28"/>
          <w:szCs w:val="28"/>
          <w:highlight w:val="yellow"/>
        </w:rPr>
        <w:t>, но только</w:t>
      </w:r>
      <w:r w:rsidR="00D80425">
        <w:rPr>
          <w:rFonts w:ascii="Times New Roman" w:hAnsi="Times New Roman" w:cs="Times New Roman"/>
          <w:sz w:val="28"/>
          <w:szCs w:val="28"/>
          <w:highlight w:val="yellow"/>
        </w:rPr>
        <w:t xml:space="preserve"> в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80425">
        <w:rPr>
          <w:rFonts w:ascii="Times New Roman" w:hAnsi="Times New Roman" w:cs="Times New Roman"/>
          <w:sz w:val="28"/>
          <w:szCs w:val="28"/>
          <w:highlight w:val="yellow"/>
        </w:rPr>
        <w:t>зазорах,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заранее </w:t>
      </w:r>
      <w:r w:rsidR="00D80425">
        <w:rPr>
          <w:rFonts w:ascii="Times New Roman" w:hAnsi="Times New Roman" w:cs="Times New Roman"/>
          <w:sz w:val="28"/>
          <w:szCs w:val="28"/>
          <w:highlight w:val="yellow"/>
        </w:rPr>
        <w:t>утвержденных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эксперт</w:t>
      </w:r>
      <w:r w:rsidR="00D80425">
        <w:rPr>
          <w:rFonts w:ascii="Times New Roman" w:hAnsi="Times New Roman" w:cs="Times New Roman"/>
          <w:sz w:val="28"/>
          <w:szCs w:val="28"/>
          <w:highlight w:val="yellow"/>
        </w:rPr>
        <w:t>ами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463E39">
        <w:rPr>
          <w:rFonts w:ascii="Times New Roman" w:hAnsi="Times New Roman" w:cs="Times New Roman"/>
          <w:b/>
          <w:sz w:val="28"/>
          <w:szCs w:val="28"/>
        </w:rPr>
        <w:t>. Отделка и внешний вид -</w:t>
      </w:r>
      <w:r w:rsidRPr="001A2FED">
        <w:rPr>
          <w:rFonts w:ascii="Times New Roman" w:hAnsi="Times New Roman" w:cs="Times New Roman"/>
          <w:b/>
          <w:sz w:val="28"/>
          <w:szCs w:val="28"/>
        </w:rPr>
        <w:t xml:space="preserve"> су</w:t>
      </w:r>
      <w:r w:rsidR="00474B09">
        <w:rPr>
          <w:rFonts w:ascii="Times New Roman" w:hAnsi="Times New Roman" w:cs="Times New Roman"/>
          <w:b/>
          <w:sz w:val="28"/>
          <w:szCs w:val="28"/>
        </w:rPr>
        <w:t>дейск</w:t>
      </w:r>
      <w:r w:rsidRPr="001A2FED">
        <w:rPr>
          <w:rFonts w:ascii="Times New Roman" w:hAnsi="Times New Roman" w:cs="Times New Roman"/>
          <w:b/>
          <w:sz w:val="28"/>
          <w:szCs w:val="28"/>
        </w:rPr>
        <w:t>ая оценка</w:t>
      </w:r>
    </w:p>
    <w:p w:rsidR="001A2FED" w:rsidRPr="00834C8F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умение участника создать изделие, производящее хорошее визуально-архитектурное впечатление. Критерии начисления баллов будут включать в себя: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Коробление </w:t>
      </w:r>
      <w:r w:rsidR="00834C8F">
        <w:rPr>
          <w:rFonts w:ascii="Times New Roman" w:hAnsi="Times New Roman" w:cs="Times New Roman"/>
          <w:sz w:val="28"/>
          <w:szCs w:val="28"/>
        </w:rPr>
        <w:t>деталей 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Отделка поверхности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Отделка граней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Прямые углы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Подгонка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834C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>.</w:t>
      </w:r>
    </w:p>
    <w:p w:rsidR="001A2FED" w:rsidRPr="00834C8F" w:rsidRDefault="001A2FED" w:rsidP="001A2FE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>В зависимости от характера задания, могут быть добавлены дополнительные критерии, или аннулированы какие-либо из вышеперечисленных критериев.</w:t>
      </w:r>
    </w:p>
    <w:p w:rsidR="001A2FED" w:rsidRPr="00834C8F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C8F">
        <w:rPr>
          <w:rFonts w:ascii="Times New Roman" w:hAnsi="Times New Roman" w:cs="Times New Roman"/>
          <w:b/>
          <w:sz w:val="28"/>
          <w:szCs w:val="28"/>
        </w:rPr>
        <w:t xml:space="preserve">Коробление и прямые углы: </w:t>
      </w:r>
      <w:r w:rsidR="00474B09" w:rsidRPr="00834C8F">
        <w:rPr>
          <w:rFonts w:ascii="Times New Roman" w:hAnsi="Times New Roman" w:cs="Times New Roman"/>
          <w:b/>
          <w:sz w:val="28"/>
          <w:szCs w:val="28"/>
        </w:rPr>
        <w:t>измерим</w:t>
      </w:r>
      <w:r w:rsidRPr="00834C8F">
        <w:rPr>
          <w:rFonts w:ascii="Times New Roman" w:hAnsi="Times New Roman" w:cs="Times New Roman"/>
          <w:b/>
          <w:sz w:val="28"/>
          <w:szCs w:val="28"/>
        </w:rPr>
        <w:t>ая оценка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268"/>
      </w:tblGrid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b/>
                <w:sz w:val="28"/>
                <w:szCs w:val="28"/>
              </w:rPr>
              <w:t>Погрешность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В пределах 1мм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До 2мм</w:t>
            </w:r>
            <w:r w:rsidR="00474B09"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До 3мм</w:t>
            </w:r>
            <w:r w:rsidR="00474B09"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3мм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</w:rPr>
        <w:t>Е. Соответствие</w:t>
      </w:r>
      <w:r w:rsidR="00474B09">
        <w:rPr>
          <w:rFonts w:ascii="Times New Roman" w:hAnsi="Times New Roman" w:cs="Times New Roman"/>
          <w:b/>
          <w:sz w:val="28"/>
          <w:szCs w:val="28"/>
        </w:rPr>
        <w:t xml:space="preserve"> – измер</w:t>
      </w:r>
      <w:r w:rsidR="00584995">
        <w:rPr>
          <w:rFonts w:ascii="Times New Roman" w:hAnsi="Times New Roman" w:cs="Times New Roman"/>
          <w:b/>
          <w:sz w:val="28"/>
          <w:szCs w:val="28"/>
        </w:rPr>
        <w:t>и</w:t>
      </w:r>
      <w:r w:rsidR="00474B09">
        <w:rPr>
          <w:rFonts w:ascii="Times New Roman" w:hAnsi="Times New Roman" w:cs="Times New Roman"/>
          <w:b/>
          <w:sz w:val="28"/>
          <w:szCs w:val="28"/>
        </w:rPr>
        <w:t>мая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умение участника изготовить изделие в точном соответствии с чертежом. Окончательный список недостатков работы, за которые будут вычитаться баллы, определяет Главный эксперт, Заместитель Главного эксперта и жюри в ходе конкурса, но штрафные баллы могут начисляться, в том числе за следующие недочеты:</w:t>
      </w:r>
    </w:p>
    <w:p w:rsidR="001A2FED" w:rsidRPr="008F5B9A" w:rsidRDefault="001A2FED" w:rsidP="008F5B9A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B9A">
        <w:rPr>
          <w:rFonts w:ascii="Times New Roman" w:hAnsi="Times New Roman"/>
          <w:sz w:val="28"/>
          <w:szCs w:val="28"/>
        </w:rPr>
        <w:t>Отсутствующий компонент</w:t>
      </w:r>
      <w:r w:rsidR="008F5B9A" w:rsidRPr="008F5B9A">
        <w:rPr>
          <w:rFonts w:ascii="Times New Roman" w:hAnsi="Times New Roman"/>
          <w:sz w:val="28"/>
          <w:szCs w:val="28"/>
        </w:rPr>
        <w:t xml:space="preserve"> (деталь)</w:t>
      </w:r>
      <w:r w:rsidRPr="008F5B9A">
        <w:rPr>
          <w:rFonts w:ascii="Times New Roman" w:hAnsi="Times New Roman"/>
          <w:sz w:val="28"/>
          <w:szCs w:val="28"/>
        </w:rPr>
        <w:t>;</w:t>
      </w:r>
    </w:p>
    <w:p w:rsidR="001A2FED" w:rsidRPr="008F5B9A" w:rsidRDefault="008F5B9A" w:rsidP="008F5B9A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B9A">
        <w:rPr>
          <w:rFonts w:ascii="Times New Roman" w:hAnsi="Times New Roman"/>
          <w:sz w:val="28"/>
          <w:szCs w:val="28"/>
        </w:rPr>
        <w:t>Несоответствие чертежу (</w:t>
      </w:r>
      <w:r w:rsidR="001A2FED" w:rsidRPr="008F5B9A">
        <w:rPr>
          <w:rFonts w:ascii="Times New Roman" w:hAnsi="Times New Roman"/>
          <w:sz w:val="28"/>
          <w:szCs w:val="28"/>
        </w:rPr>
        <w:t>например, починка</w:t>
      </w:r>
      <w:r>
        <w:rPr>
          <w:rFonts w:ascii="Times New Roman" w:hAnsi="Times New Roman"/>
          <w:sz w:val="28"/>
          <w:szCs w:val="28"/>
        </w:rPr>
        <w:t xml:space="preserve"> или другие недочёты</w:t>
      </w:r>
      <w:r w:rsidRPr="008F5B9A">
        <w:rPr>
          <w:rFonts w:ascii="Times New Roman" w:hAnsi="Times New Roman"/>
          <w:sz w:val="28"/>
          <w:szCs w:val="28"/>
        </w:rPr>
        <w:t>)</w:t>
      </w:r>
      <w:r w:rsidR="001A2FED" w:rsidRPr="008F5B9A">
        <w:rPr>
          <w:rFonts w:ascii="Times New Roman" w:hAnsi="Times New Roman"/>
          <w:sz w:val="28"/>
          <w:szCs w:val="28"/>
        </w:rPr>
        <w:t>;</w:t>
      </w:r>
    </w:p>
    <w:p w:rsidR="001A2FED" w:rsidRPr="008F5B9A" w:rsidRDefault="001A2FED" w:rsidP="008F5B9A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B9A">
        <w:rPr>
          <w:rFonts w:ascii="Times New Roman" w:hAnsi="Times New Roman"/>
          <w:sz w:val="28"/>
          <w:szCs w:val="28"/>
        </w:rPr>
        <w:t>Максимальное количество не начисляемых баллов: 5.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A2FED">
        <w:rPr>
          <w:rFonts w:ascii="Times New Roman" w:hAnsi="Times New Roman" w:cs="Times New Roman"/>
          <w:b/>
          <w:sz w:val="28"/>
          <w:szCs w:val="28"/>
        </w:rPr>
        <w:t>. Размеры</w:t>
      </w:r>
      <w:r w:rsidR="00474B09">
        <w:rPr>
          <w:rFonts w:ascii="Times New Roman" w:hAnsi="Times New Roman" w:cs="Times New Roman"/>
          <w:b/>
          <w:sz w:val="28"/>
          <w:szCs w:val="28"/>
        </w:rPr>
        <w:t xml:space="preserve"> – измер</w:t>
      </w:r>
      <w:r w:rsidR="00584995">
        <w:rPr>
          <w:rFonts w:ascii="Times New Roman" w:hAnsi="Times New Roman" w:cs="Times New Roman"/>
          <w:b/>
          <w:sz w:val="28"/>
          <w:szCs w:val="28"/>
        </w:rPr>
        <w:t>и</w:t>
      </w:r>
      <w:r w:rsidR="00474B09">
        <w:rPr>
          <w:rFonts w:ascii="Times New Roman" w:hAnsi="Times New Roman" w:cs="Times New Roman"/>
          <w:b/>
          <w:sz w:val="28"/>
          <w:szCs w:val="28"/>
        </w:rPr>
        <w:t>мая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 xml:space="preserve">При начислении баллов подвергается проверке точность размеров готового изделия. Критерии начисления баллов: 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Основные размеры: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в пределах 1мм, 100%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до 2мм включительно, 50%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более 2мм, 0%.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Дополнительные размеры: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в пределах 1мм, 100%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более 1мм, 0%.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A2FED">
        <w:rPr>
          <w:rFonts w:ascii="Times New Roman" w:hAnsi="Times New Roman" w:cs="Times New Roman"/>
          <w:b/>
          <w:sz w:val="28"/>
          <w:szCs w:val="28"/>
        </w:rPr>
        <w:t>. Материал</w:t>
      </w:r>
      <w:r w:rsidR="00474B09">
        <w:rPr>
          <w:rFonts w:ascii="Times New Roman" w:hAnsi="Times New Roman" w:cs="Times New Roman"/>
          <w:b/>
          <w:sz w:val="28"/>
          <w:szCs w:val="28"/>
        </w:rPr>
        <w:t xml:space="preserve"> – измер</w:t>
      </w:r>
      <w:r w:rsidR="00584995">
        <w:rPr>
          <w:rFonts w:ascii="Times New Roman" w:hAnsi="Times New Roman" w:cs="Times New Roman"/>
          <w:b/>
          <w:sz w:val="28"/>
          <w:szCs w:val="28"/>
        </w:rPr>
        <w:t>и</w:t>
      </w:r>
      <w:r w:rsidR="00474B09">
        <w:rPr>
          <w:rFonts w:ascii="Times New Roman" w:hAnsi="Times New Roman" w:cs="Times New Roman"/>
          <w:b/>
          <w:sz w:val="28"/>
          <w:szCs w:val="28"/>
        </w:rPr>
        <w:t>мая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Вычет баллов производится за замену не подлежащих использованию компонентов</w:t>
      </w:r>
      <w:r w:rsidR="00EC0B2E">
        <w:rPr>
          <w:rFonts w:ascii="Times New Roman" w:hAnsi="Times New Roman" w:cs="Times New Roman"/>
          <w:sz w:val="28"/>
          <w:szCs w:val="28"/>
        </w:rPr>
        <w:t xml:space="preserve"> (деталей)</w:t>
      </w:r>
      <w:r w:rsidRPr="001A2FED">
        <w:rPr>
          <w:rFonts w:ascii="Times New Roman" w:hAnsi="Times New Roman" w:cs="Times New Roman"/>
          <w:sz w:val="28"/>
          <w:szCs w:val="28"/>
        </w:rPr>
        <w:t>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Начисление штрафных баллов:</w:t>
      </w:r>
    </w:p>
    <w:p w:rsidR="001A2FED" w:rsidRPr="00593B83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B83">
        <w:rPr>
          <w:rFonts w:ascii="Times New Roman" w:hAnsi="Times New Roman" w:cs="Times New Roman"/>
          <w:sz w:val="28"/>
          <w:szCs w:val="28"/>
          <w:highlight w:val="yellow"/>
        </w:rPr>
        <w:t>Заме</w:t>
      </w:r>
      <w:r w:rsidR="00912698" w:rsidRPr="00593B83">
        <w:rPr>
          <w:rFonts w:ascii="Times New Roman" w:hAnsi="Times New Roman" w:cs="Times New Roman"/>
          <w:sz w:val="28"/>
          <w:szCs w:val="28"/>
          <w:highlight w:val="yellow"/>
        </w:rPr>
        <w:t>на первой детали: вычет 2</w:t>
      </w:r>
      <w:r w:rsidR="00E278BF" w:rsidRPr="00593B83">
        <w:rPr>
          <w:rFonts w:ascii="Times New Roman" w:hAnsi="Times New Roman" w:cs="Times New Roman"/>
          <w:sz w:val="28"/>
          <w:szCs w:val="28"/>
          <w:highlight w:val="yellow"/>
        </w:rPr>
        <w:t xml:space="preserve"> балла</w:t>
      </w:r>
      <w:r w:rsidRPr="00593B83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1A2FED" w:rsidRPr="00593B83" w:rsidRDefault="00E278BF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B83">
        <w:rPr>
          <w:rFonts w:ascii="Times New Roman" w:hAnsi="Times New Roman" w:cs="Times New Roman"/>
          <w:sz w:val="28"/>
          <w:szCs w:val="28"/>
          <w:highlight w:val="yellow"/>
        </w:rPr>
        <w:t xml:space="preserve">Замена второй </w:t>
      </w:r>
      <w:r w:rsidR="00584AAB" w:rsidRPr="00593B83">
        <w:rPr>
          <w:rFonts w:ascii="Times New Roman" w:hAnsi="Times New Roman" w:cs="Times New Roman"/>
          <w:sz w:val="28"/>
          <w:szCs w:val="28"/>
          <w:highlight w:val="yellow"/>
        </w:rPr>
        <w:t>детали: вычет 1,5</w:t>
      </w:r>
      <w:r w:rsidR="001A2FED" w:rsidRPr="00593B83">
        <w:rPr>
          <w:rFonts w:ascii="Times New Roman" w:hAnsi="Times New Roman" w:cs="Times New Roman"/>
          <w:sz w:val="28"/>
          <w:szCs w:val="28"/>
          <w:highlight w:val="yellow"/>
        </w:rPr>
        <w:t xml:space="preserve"> балла;</w:t>
      </w:r>
    </w:p>
    <w:p w:rsidR="00584AAB" w:rsidRPr="00593B83" w:rsidRDefault="00584AAB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B83">
        <w:rPr>
          <w:rFonts w:ascii="Times New Roman" w:hAnsi="Times New Roman" w:cs="Times New Roman"/>
          <w:sz w:val="28"/>
          <w:szCs w:val="28"/>
          <w:highlight w:val="yellow"/>
        </w:rPr>
        <w:t>Замена третьей детали: вычет 1</w:t>
      </w:r>
      <w:r w:rsidR="00FC05B7">
        <w:rPr>
          <w:rFonts w:ascii="Times New Roman" w:hAnsi="Times New Roman" w:cs="Times New Roman"/>
          <w:sz w:val="28"/>
          <w:szCs w:val="28"/>
          <w:highlight w:val="yellow"/>
        </w:rPr>
        <w:t>,5</w:t>
      </w:r>
      <w:r w:rsidRPr="00593B83">
        <w:rPr>
          <w:rFonts w:ascii="Times New Roman" w:hAnsi="Times New Roman" w:cs="Times New Roman"/>
          <w:sz w:val="28"/>
          <w:szCs w:val="28"/>
          <w:highlight w:val="yellow"/>
        </w:rPr>
        <w:t xml:space="preserve"> балл</w:t>
      </w:r>
      <w:r w:rsidR="00FC05B7">
        <w:rPr>
          <w:rFonts w:ascii="Times New Roman" w:hAnsi="Times New Roman" w:cs="Times New Roman"/>
          <w:sz w:val="28"/>
          <w:szCs w:val="28"/>
          <w:highlight w:val="yellow"/>
        </w:rPr>
        <w:t>а;</w:t>
      </w:r>
    </w:p>
    <w:p w:rsidR="005E30DC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Максимальное количество вычитаемых баллов: 5</w:t>
      </w:r>
    </w:p>
    <w:p w:rsidR="001A2FED" w:rsidRPr="001A2FED" w:rsidRDefault="001A2FED" w:rsidP="001A2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lastRenderedPageBreak/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1A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инструктируют Экспертов по каждому разделу схемы начисления баллов, с тем, чтобы они понимали, на что необходимо обращать внимание при оценке работы участника.</w:t>
      </w:r>
    </w:p>
    <w:p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Главный эксперт объясняет принцип оценки каждого раздела до вынесения решения жюри, для обеспечения последовательности и единообразия.</w:t>
      </w:r>
    </w:p>
    <w:p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Все Эксперты должны соответствовать следующим критериям:</w:t>
      </w:r>
    </w:p>
    <w:p w:rsidR="001A2FED" w:rsidRP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Практический опыт работы в деревообрабатывающей отрасли;</w:t>
      </w:r>
    </w:p>
    <w:p w:rsidR="001A2FED" w:rsidRP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Преподавание профессионального мастерства в деревообрабатывающей отрасли;</w:t>
      </w:r>
    </w:p>
    <w:p w:rsid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</w:pPr>
      <w:r w:rsidRPr="001A2FED">
        <w:rPr>
          <w:rFonts w:ascii="Times New Roman" w:hAnsi="Times New Roman" w:cs="Times New Roman"/>
          <w:sz w:val="28"/>
          <w:szCs w:val="28"/>
        </w:rPr>
        <w:t>Квалификация в деревообрабатывающей отрасли</w:t>
      </w:r>
      <w:r>
        <w:t>.</w:t>
      </w:r>
    </w:p>
    <w:p w:rsidR="001A2FED" w:rsidRDefault="001A2FED" w:rsidP="001A2FE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 от</w:t>
      </w:r>
      <w:r w:rsidR="00523CEF">
        <w:rPr>
          <w:rFonts w:ascii="Times New Roman" w:hAnsi="Times New Roman" w:cs="Times New Roman"/>
          <w:sz w:val="28"/>
          <w:szCs w:val="28"/>
        </w:rPr>
        <w:t xml:space="preserve"> 1</w:t>
      </w:r>
      <w:r w:rsidR="009A0942">
        <w:rPr>
          <w:rFonts w:ascii="Times New Roman" w:hAnsi="Times New Roman" w:cs="Times New Roman"/>
          <w:sz w:val="28"/>
          <w:szCs w:val="28"/>
        </w:rPr>
        <w:t>6</w:t>
      </w:r>
      <w:r w:rsidR="0052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23CEF">
        <w:rPr>
          <w:rFonts w:ascii="Times New Roman" w:hAnsi="Times New Roman" w:cs="Times New Roman"/>
          <w:sz w:val="28"/>
          <w:szCs w:val="28"/>
        </w:rPr>
        <w:t xml:space="preserve"> 2</w:t>
      </w:r>
      <w:r w:rsidR="00CC6CD1">
        <w:rPr>
          <w:rFonts w:ascii="Times New Roman" w:hAnsi="Times New Roman" w:cs="Times New Roman"/>
          <w:sz w:val="28"/>
          <w:szCs w:val="28"/>
        </w:rPr>
        <w:t>2</w:t>
      </w:r>
      <w:r w:rsidR="0052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 содержит 3 модуля:</w:t>
      </w:r>
    </w:p>
    <w:p w:rsidR="00DE39D8" w:rsidRPr="00F352BD" w:rsidRDefault="00DE39D8" w:rsidP="00F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2BD">
        <w:rPr>
          <w:rFonts w:ascii="Times New Roman" w:hAnsi="Times New Roman"/>
          <w:sz w:val="28"/>
          <w:szCs w:val="28"/>
        </w:rPr>
        <w:t xml:space="preserve">Модуль 1. </w:t>
      </w:r>
      <w:r w:rsidR="00523CEF" w:rsidRPr="00F352BD">
        <w:rPr>
          <w:rFonts w:ascii="Times New Roman" w:hAnsi="Times New Roman"/>
          <w:sz w:val="28"/>
          <w:szCs w:val="28"/>
        </w:rPr>
        <w:t>Выполнение полноразмерного чертежа 1:1</w:t>
      </w:r>
      <w:r w:rsidRPr="00F352BD">
        <w:rPr>
          <w:rFonts w:ascii="Times New Roman" w:hAnsi="Times New Roman"/>
          <w:sz w:val="28"/>
          <w:szCs w:val="28"/>
        </w:rPr>
        <w:t>.</w:t>
      </w:r>
    </w:p>
    <w:p w:rsidR="00DE39D8" w:rsidRPr="00F352BD" w:rsidRDefault="00DE39D8" w:rsidP="00F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2BD">
        <w:rPr>
          <w:rFonts w:ascii="Times New Roman" w:hAnsi="Times New Roman"/>
          <w:sz w:val="28"/>
          <w:szCs w:val="28"/>
        </w:rPr>
        <w:t xml:space="preserve">Модуль 2. </w:t>
      </w:r>
      <w:r w:rsidR="00523CEF" w:rsidRPr="00F352BD">
        <w:rPr>
          <w:rFonts w:ascii="Times New Roman" w:hAnsi="Times New Roman"/>
          <w:sz w:val="28"/>
          <w:szCs w:val="28"/>
        </w:rPr>
        <w:t>Формирование соединений и сборка изделия</w:t>
      </w:r>
      <w:r w:rsidRPr="00F352BD">
        <w:rPr>
          <w:rFonts w:ascii="Times New Roman" w:hAnsi="Times New Roman"/>
          <w:sz w:val="28"/>
          <w:szCs w:val="28"/>
        </w:rPr>
        <w:t>.</w:t>
      </w:r>
    </w:p>
    <w:p w:rsidR="00DE39D8" w:rsidRPr="00F352BD" w:rsidRDefault="00523CEF" w:rsidP="00F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2BD">
        <w:rPr>
          <w:rFonts w:ascii="Times New Roman" w:hAnsi="Times New Roman"/>
          <w:sz w:val="28"/>
          <w:szCs w:val="28"/>
        </w:rPr>
        <w:t>Модуль 3. Отделка и внешний вид</w:t>
      </w:r>
      <w:r w:rsidR="00DE39D8" w:rsidRPr="00F352BD">
        <w:rPr>
          <w:rFonts w:ascii="Times New Roman" w:hAnsi="Times New Roman"/>
          <w:sz w:val="28"/>
          <w:szCs w:val="28"/>
        </w:rPr>
        <w:t>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Default="00DE39D8" w:rsidP="001074A2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F352BD" w:rsidRPr="00F352BD" w:rsidRDefault="00F352B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D">
        <w:rPr>
          <w:rFonts w:ascii="Times New Roman" w:hAnsi="Times New Roman" w:cs="Times New Roman"/>
          <w:sz w:val="28"/>
          <w:szCs w:val="28"/>
        </w:rPr>
        <w:t>1. В целом, чтобы выполнить модули, участник должен обладать широким диапазо</w:t>
      </w:r>
      <w:r w:rsidR="0062289F">
        <w:rPr>
          <w:rFonts w:ascii="Times New Roman" w:hAnsi="Times New Roman" w:cs="Times New Roman"/>
          <w:sz w:val="28"/>
          <w:szCs w:val="28"/>
        </w:rPr>
        <w:t xml:space="preserve">ном навыков обращения с ручным, электрифицированным </w:t>
      </w:r>
      <w:r w:rsidRPr="00F352BD">
        <w:rPr>
          <w:rFonts w:ascii="Times New Roman" w:hAnsi="Times New Roman" w:cs="Times New Roman"/>
          <w:sz w:val="28"/>
          <w:szCs w:val="28"/>
        </w:rPr>
        <w:t>инструмент</w:t>
      </w:r>
      <w:r w:rsidR="0062289F">
        <w:rPr>
          <w:rFonts w:ascii="Times New Roman" w:hAnsi="Times New Roman" w:cs="Times New Roman"/>
          <w:sz w:val="28"/>
          <w:szCs w:val="28"/>
        </w:rPr>
        <w:t>ом и деревообрабатывающими станками</w:t>
      </w:r>
      <w:r w:rsidRPr="00F352BD">
        <w:rPr>
          <w:rFonts w:ascii="Times New Roman" w:hAnsi="Times New Roman" w:cs="Times New Roman"/>
          <w:sz w:val="28"/>
          <w:szCs w:val="28"/>
        </w:rPr>
        <w:t>.</w:t>
      </w:r>
    </w:p>
    <w:p w:rsidR="00F352BD" w:rsidRPr="00F352BD" w:rsidRDefault="00F352B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D">
        <w:rPr>
          <w:rFonts w:ascii="Times New Roman" w:hAnsi="Times New Roman" w:cs="Times New Roman"/>
          <w:sz w:val="28"/>
          <w:szCs w:val="28"/>
        </w:rPr>
        <w:t>2. Каждый модуль должен быть разработан так, чтобы наименее компетентные участники могли бы показать более или менее хороший результат, но в то же время так, чтобы самые умелые участники смогли продемонстрировать свои умения, не достигнув 100%.</w:t>
      </w:r>
    </w:p>
    <w:p w:rsidR="00F352BD" w:rsidRPr="00F352BD" w:rsidRDefault="0062289F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. В каждом модуле должны присутствовать соединения как минимум 4 разных типов. Например, </w:t>
      </w:r>
      <w:r w:rsidR="00A516FD">
        <w:rPr>
          <w:rFonts w:ascii="Times New Roman" w:hAnsi="Times New Roman" w:cs="Times New Roman"/>
          <w:sz w:val="28"/>
          <w:szCs w:val="28"/>
        </w:rPr>
        <w:t xml:space="preserve">шиповые угловые соединения, </w:t>
      </w:r>
      <w:r w:rsidR="00F352BD" w:rsidRPr="00F352BD">
        <w:rPr>
          <w:rFonts w:ascii="Times New Roman" w:hAnsi="Times New Roman" w:cs="Times New Roman"/>
          <w:sz w:val="28"/>
          <w:szCs w:val="28"/>
        </w:rPr>
        <w:t>«ласточкин хвост» и т.п. Нагельное соединение и соединение на шкантах может использоваться не более чем в 10% стыков модуля.</w:t>
      </w:r>
    </w:p>
    <w:p w:rsidR="00F352BD" w:rsidRPr="00F352BD" w:rsidRDefault="0062289F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  <w:r w:rsidR="00584995">
        <w:rPr>
          <w:rFonts w:ascii="Times New Roman" w:hAnsi="Times New Roman" w:cs="Times New Roman"/>
          <w:sz w:val="28"/>
          <w:szCs w:val="28"/>
        </w:rPr>
        <w:t xml:space="preserve"> </w:t>
      </w:r>
      <w:r w:rsidR="00F352BD" w:rsidRPr="00F352BD">
        <w:rPr>
          <w:rFonts w:ascii="Times New Roman" w:hAnsi="Times New Roman" w:cs="Times New Roman"/>
          <w:sz w:val="28"/>
          <w:szCs w:val="28"/>
        </w:rPr>
        <w:t>Методические указания по проектированию: 1 соединение = примерно 1 час работы. Девятичасовой модуль включает в себя не более 9 соединений.</w:t>
      </w:r>
    </w:p>
    <w:p w:rsidR="006856B1" w:rsidRDefault="0050100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  <w:r w:rsidR="00584995">
        <w:rPr>
          <w:rFonts w:ascii="Times New Roman" w:hAnsi="Times New Roman" w:cs="Times New Roman"/>
          <w:sz w:val="28"/>
          <w:szCs w:val="28"/>
        </w:rPr>
        <w:t xml:space="preserve"> 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Каждый модуль ограничивается тремя профильными контурами. Каждый модуль может включать в себя не более трех контуров в сумме. </w:t>
      </w:r>
    </w:p>
    <w:p w:rsidR="00F352BD" w:rsidRPr="00F352BD" w:rsidRDefault="0050100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2BD">
        <w:rPr>
          <w:rFonts w:ascii="Times New Roman" w:hAnsi="Times New Roman" w:cs="Times New Roman"/>
          <w:sz w:val="28"/>
          <w:szCs w:val="28"/>
        </w:rPr>
        <w:t xml:space="preserve">. </w:t>
      </w:r>
      <w:r w:rsidR="00F352BD" w:rsidRPr="00F352BD">
        <w:rPr>
          <w:rFonts w:ascii="Times New Roman" w:hAnsi="Times New Roman" w:cs="Times New Roman"/>
          <w:sz w:val="28"/>
          <w:szCs w:val="28"/>
        </w:rPr>
        <w:t>Все соединения формируются вручную, используя ручной и электрифицированный инструмент, согласно инфраструктурному листу или при помощи деревообрабатывающих станков (если предоставляет площадка). В</w:t>
      </w:r>
      <w:r w:rsidR="00F352BD">
        <w:rPr>
          <w:rFonts w:ascii="Times New Roman" w:hAnsi="Times New Roman" w:cs="Times New Roman"/>
          <w:sz w:val="28"/>
          <w:szCs w:val="28"/>
        </w:rPr>
        <w:t>н</w:t>
      </w:r>
      <w:r w:rsidR="00F352BD" w:rsidRPr="00F352BD">
        <w:rPr>
          <w:rFonts w:ascii="Times New Roman" w:hAnsi="Times New Roman" w:cs="Times New Roman"/>
          <w:sz w:val="28"/>
          <w:szCs w:val="28"/>
        </w:rPr>
        <w:t>имание: шипорезы</w:t>
      </w:r>
      <w:r w:rsidR="00B71F5D">
        <w:rPr>
          <w:rFonts w:ascii="Times New Roman" w:hAnsi="Times New Roman" w:cs="Times New Roman"/>
          <w:sz w:val="28"/>
          <w:szCs w:val="28"/>
        </w:rPr>
        <w:t xml:space="preserve"> (любого вида)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 исключены из инфраструктурного списка.</w:t>
      </w:r>
    </w:p>
    <w:p w:rsidR="00F352BD" w:rsidRPr="00F352BD" w:rsidRDefault="0050100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. Предлагаемые задания необходимо подавать в формате компьютерного чертежа, соответствующего стандартам </w:t>
      </w:r>
      <w:r w:rsidR="00F352BD" w:rsidRPr="00F352B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</w:p>
    <w:p w:rsidR="001E2B1D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1E2B1D" w:rsidRPr="001E3A14" w:rsidRDefault="001E2B1D" w:rsidP="0058499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1E3A14">
        <w:rPr>
          <w:rFonts w:ascii="Times New Roman" w:hAnsi="Times New Roman"/>
          <w:sz w:val="28"/>
          <w:szCs w:val="28"/>
        </w:rPr>
        <w:t>Выполнение полноразмерного чертежа</w:t>
      </w:r>
      <w:r w:rsidRPr="001E3A14">
        <w:rPr>
          <w:rFonts w:ascii="Times New Roman" w:hAnsi="Times New Roman"/>
          <w:b/>
          <w:sz w:val="28"/>
          <w:szCs w:val="28"/>
        </w:rPr>
        <w:t>.</w:t>
      </w:r>
    </w:p>
    <w:p w:rsidR="001E2B1D" w:rsidRPr="001E3A14" w:rsidRDefault="001E2B1D" w:rsidP="0058499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Участнику необходимо выполнить полноразмерный чертеж 1:1</w:t>
      </w:r>
      <w:r w:rsidR="00584995">
        <w:rPr>
          <w:rFonts w:ascii="Times New Roman" w:hAnsi="Times New Roman"/>
          <w:sz w:val="28"/>
          <w:szCs w:val="28"/>
        </w:rPr>
        <w:t>, вид спереди</w:t>
      </w:r>
      <w:r w:rsidRPr="001E3A14">
        <w:rPr>
          <w:rFonts w:ascii="Times New Roman" w:hAnsi="Times New Roman"/>
          <w:sz w:val="28"/>
          <w:szCs w:val="28"/>
        </w:rPr>
        <w:t xml:space="preserve">. </w:t>
      </w:r>
    </w:p>
    <w:p w:rsidR="001E2B1D" w:rsidRPr="001E3A14" w:rsidRDefault="001E2B1D" w:rsidP="005849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2: </w:t>
      </w:r>
      <w:r w:rsidRPr="001E3A14">
        <w:rPr>
          <w:rFonts w:ascii="Times New Roman" w:hAnsi="Times New Roman"/>
          <w:sz w:val="28"/>
          <w:szCs w:val="28"/>
        </w:rPr>
        <w:t xml:space="preserve">Формирование соединений и сборка </w:t>
      </w:r>
      <w:r>
        <w:rPr>
          <w:rFonts w:ascii="Times New Roman" w:hAnsi="Times New Roman"/>
          <w:sz w:val="28"/>
          <w:szCs w:val="28"/>
        </w:rPr>
        <w:t>изделия</w:t>
      </w:r>
      <w:r w:rsidRPr="001E3A14">
        <w:rPr>
          <w:rFonts w:ascii="Times New Roman" w:hAnsi="Times New Roman"/>
          <w:sz w:val="28"/>
          <w:szCs w:val="28"/>
        </w:rPr>
        <w:t>.</w:t>
      </w:r>
    </w:p>
    <w:p w:rsidR="001E2B1D" w:rsidRDefault="001E2B1D" w:rsidP="00584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Сформировать соединения, соответствующие чер</w:t>
      </w:r>
      <w:r w:rsidR="002C605A">
        <w:rPr>
          <w:rFonts w:ascii="Times New Roman" w:hAnsi="Times New Roman"/>
          <w:sz w:val="28"/>
          <w:szCs w:val="28"/>
        </w:rPr>
        <w:t>тежу с максимальным зазором 0,</w:t>
      </w:r>
      <w:r w:rsidR="00B12DE3">
        <w:rPr>
          <w:rFonts w:ascii="Times New Roman" w:hAnsi="Times New Roman"/>
          <w:sz w:val="28"/>
          <w:szCs w:val="28"/>
        </w:rPr>
        <w:t>4</w:t>
      </w:r>
      <w:r w:rsidRPr="001E3A14">
        <w:rPr>
          <w:rFonts w:ascii="Times New Roman" w:hAnsi="Times New Roman"/>
          <w:sz w:val="28"/>
          <w:szCs w:val="28"/>
        </w:rPr>
        <w:t xml:space="preserve"> мм на плечах</w:t>
      </w:r>
      <w:r w:rsidR="00944944">
        <w:rPr>
          <w:rFonts w:ascii="Times New Roman" w:hAnsi="Times New Roman"/>
          <w:sz w:val="28"/>
          <w:szCs w:val="28"/>
        </w:rPr>
        <w:t>,</w:t>
      </w:r>
      <w:r w:rsidRPr="001E3A14">
        <w:rPr>
          <w:rFonts w:ascii="Times New Roman" w:hAnsi="Times New Roman"/>
          <w:sz w:val="28"/>
          <w:szCs w:val="28"/>
        </w:rPr>
        <w:t xml:space="preserve"> используя ручной и электрифицированный столярный инструмент.</w:t>
      </w:r>
    </w:p>
    <w:p w:rsidR="001E2B1D" w:rsidRDefault="001E2B1D" w:rsidP="005849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66">
        <w:rPr>
          <w:rFonts w:ascii="Times New Roman" w:hAnsi="Times New Roman"/>
          <w:b/>
          <w:sz w:val="28"/>
          <w:szCs w:val="28"/>
        </w:rPr>
        <w:t>Модуль 3:</w:t>
      </w:r>
      <w:r w:rsidRPr="00D84366">
        <w:rPr>
          <w:rFonts w:ascii="Times New Roman" w:hAnsi="Times New Roman"/>
          <w:sz w:val="24"/>
          <w:szCs w:val="28"/>
        </w:rPr>
        <w:t xml:space="preserve"> </w:t>
      </w:r>
      <w:r w:rsidRPr="00D84366">
        <w:rPr>
          <w:rFonts w:ascii="Times New Roman" w:hAnsi="Times New Roman"/>
          <w:sz w:val="28"/>
          <w:szCs w:val="28"/>
        </w:rPr>
        <w:t>Отделка и внешний вид</w:t>
      </w:r>
      <w:r>
        <w:rPr>
          <w:rFonts w:ascii="Times New Roman" w:hAnsi="Times New Roman"/>
          <w:sz w:val="28"/>
          <w:szCs w:val="28"/>
        </w:rPr>
        <w:t>. Изготовить столярное изделие с идеально подогнанными деталями. Столярное изделие должно быть без сколов и других дефектов, хорошо отшлифованное.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B71F5D" w:rsidRDefault="00B71F5D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F5D">
        <w:rPr>
          <w:rFonts w:ascii="Times New Roman" w:hAnsi="Times New Roman"/>
          <w:sz w:val="28"/>
          <w:szCs w:val="28"/>
        </w:rPr>
        <w:t xml:space="preserve">Обеспечить подачу напряжения 220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71F5D">
        <w:rPr>
          <w:rFonts w:ascii="Times New Roman" w:hAnsi="Times New Roman"/>
          <w:sz w:val="28"/>
          <w:szCs w:val="28"/>
        </w:rPr>
        <w:t xml:space="preserve">  на каждое рабочее место</w:t>
      </w:r>
      <w:r w:rsidRPr="00B71F5D">
        <w:rPr>
          <w:rFonts w:ascii="Times New Roman" w:hAnsi="Times New Roman"/>
          <w:b/>
          <w:sz w:val="28"/>
          <w:szCs w:val="28"/>
        </w:rPr>
        <w:t xml:space="preserve"> </w:t>
      </w:r>
    </w:p>
    <w:p w:rsidR="00B71F5D" w:rsidRPr="00B71F5D" w:rsidRDefault="00B71F5D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F5D">
        <w:rPr>
          <w:rFonts w:ascii="Times New Roman" w:hAnsi="Times New Roman"/>
          <w:sz w:val="28"/>
          <w:szCs w:val="28"/>
        </w:rPr>
        <w:t>Обеспечить подачу напряжения 380</w:t>
      </w:r>
      <w:r w:rsidRPr="00B71F5D">
        <w:rPr>
          <w:rFonts w:ascii="Times New Roman" w:hAnsi="Times New Roman"/>
          <w:sz w:val="28"/>
          <w:szCs w:val="28"/>
          <w:lang w:val="en-US"/>
        </w:rPr>
        <w:t>V</w:t>
      </w:r>
      <w:r w:rsidRPr="00B71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если используются деревообрабатывающие станки</w:t>
      </w:r>
    </w:p>
    <w:p w:rsidR="00B71F5D" w:rsidRPr="00B71F5D" w:rsidRDefault="00B71F5D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на каждое рабочее место не менее 500 Люкс</w:t>
      </w:r>
    </w:p>
    <w:p w:rsidR="00B71F5D" w:rsidRPr="00431817" w:rsidRDefault="00431817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1817">
        <w:rPr>
          <w:rFonts w:ascii="Times New Roman" w:hAnsi="Times New Roman"/>
          <w:sz w:val="28"/>
          <w:szCs w:val="28"/>
        </w:rPr>
        <w:t>Пол на участке проведения конкурса должен быть ровным, гладким и горизонтальным, без больших трещин, щелей, неровностей и прочих объектов, о которые можно споткнуться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5614" w:rsidRPr="009955F8" w:rsidRDefault="002624D2" w:rsidP="00DE39D8">
      <w:pPr>
        <w:pStyle w:val="aff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37" style="position:absolute;left:0;text-align:left;margin-left:38.6pt;margin-top:6.5pt;width:234.75pt;height:325.35pt;z-index:251699200" fillcolor="#bdd6ee [1300]" strokecolor="#f2f2f2 [3041]" strokeweight="3pt">
            <v:shadow on="t" type="perspective" color="#525252 [1606]" opacity=".5" offset="1pt" offset2="-1pt"/>
          </v:rect>
        </w:pict>
      </w:r>
      <w:r w:rsidRPr="002624D2">
        <w:rPr>
          <w:rFonts w:ascii="Times New Roman" w:hAnsi="Times New Roman"/>
          <w:noProof/>
          <w:color w:val="C0000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227.6pt;margin-top:13.25pt;width:35.25pt;height:36pt;z-index:251702272" fillcolor="#9cc2e5 [1940]" strokecolor="#2f5496 [2408]" strokeweight="1.25pt">
            <v:textbox style="mso-next-textbox:#_x0000_s1040">
              <w:txbxContent>
                <w:p w:rsidR="00B12DE3" w:rsidRPr="00C64429" w:rsidRDefault="00B12DE3">
                  <w:pPr>
                    <w:rPr>
                      <w:b/>
                      <w:caps/>
                      <w:sz w:val="8"/>
                      <w:szCs w:val="10"/>
                    </w:rPr>
                  </w:pPr>
                  <w:r w:rsidRPr="00C64429">
                    <w:rPr>
                      <w:b/>
                      <w:caps/>
                      <w:sz w:val="8"/>
                      <w:szCs w:val="10"/>
                    </w:rPr>
                    <w:t>розетка</w:t>
                  </w:r>
                </w:p>
              </w:txbxContent>
            </v:textbox>
          </v:shape>
        </w:pict>
      </w:r>
    </w:p>
    <w:p w:rsidR="00DE39D8" w:rsidRPr="009955F8" w:rsidRDefault="002624D2" w:rsidP="00DE39D8">
      <w:pPr>
        <w:pStyle w:val="aff1"/>
        <w:jc w:val="center"/>
        <w:rPr>
          <w:rFonts w:ascii="Times New Roman" w:hAnsi="Times New Roman"/>
          <w:color w:val="C00000"/>
        </w:rPr>
      </w:pPr>
      <w:r>
        <w:rPr>
          <w:rFonts w:ascii="Times New Roman" w:hAnsi="Times New Roman"/>
          <w:noProof/>
          <w:color w:val="C00000"/>
          <w:lang w:eastAsia="ru-RU"/>
        </w:rPr>
        <w:lastRenderedPageBreak/>
        <w:pict>
          <v:rect id="_x0000_s1039" style="position:absolute;left:0;text-align:left;margin-left:172.85pt;margin-top:51.95pt;width:44.25pt;height:42pt;z-index:251701248">
            <v:textbox style="mso-next-textbox:#_x0000_s1039">
              <w:txbxContent>
                <w:p w:rsidR="00B12DE3" w:rsidRPr="00584995" w:rsidRDefault="00B12DE3">
                  <w:pPr>
                    <w:rPr>
                      <w:b/>
                      <w:caps/>
                      <w:lang w:val="en-US"/>
                    </w:rPr>
                  </w:pPr>
                  <w:r w:rsidRPr="00584995">
                    <w:rPr>
                      <w:b/>
                      <w:caps/>
                    </w:rPr>
                    <w:t xml:space="preserve">Стол </w:t>
                  </w:r>
                  <w:r w:rsidRPr="00584995">
                    <w:rPr>
                      <w:b/>
                      <w:caps/>
                      <w:lang w:val="en-US"/>
                    </w:rPr>
                    <w:t>MFT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C00000"/>
          <w:lang w:eastAsia="ru-RU"/>
        </w:rPr>
        <w:pict>
          <v:rect id="_x0000_s1038" style="position:absolute;left:0;text-align:left;margin-left:70.1pt;margin-top:14.45pt;width:78.75pt;height:123.75pt;z-index:251700224" fillcolor="#f4b083 [1941]" strokecolor="#2f5496 [2408]" strokeweight="1.25pt">
            <v:textbox style="mso-next-textbox:#_x0000_s1038">
              <w:txbxContent>
                <w:p w:rsidR="00B12DE3" w:rsidRPr="00AF4DA1" w:rsidRDefault="00B12DE3" w:rsidP="00C64429">
                  <w:pPr>
                    <w:jc w:val="center"/>
                    <w:rPr>
                      <w:b/>
                      <w:caps/>
                      <w:position w:val="-6"/>
                    </w:rPr>
                  </w:pPr>
                  <w:r w:rsidRPr="00AF4DA1">
                    <w:rPr>
                      <w:b/>
                      <w:caps/>
                      <w:position w:val="-6"/>
                    </w:rPr>
                    <w:t>Столярный верстак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C00000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2" type="#_x0000_t11" style="position:absolute;left:0;text-align:left;margin-left:178.1pt;margin-top:141.95pt;width:39pt;height:33.9pt;z-index:251703296" fillcolor="#a8d08d [1945]" strokecolor="#2f5496 [2408]" strokeweight="1.25pt">
            <v:textbox>
              <w:txbxContent>
                <w:p w:rsidR="00B12DE3" w:rsidRPr="00C64429" w:rsidRDefault="00B12DE3">
                  <w:pPr>
                    <w:rPr>
                      <w:b/>
                      <w:caps/>
                      <w:sz w:val="10"/>
                      <w:szCs w:val="16"/>
                    </w:rPr>
                  </w:pPr>
                  <w:r w:rsidRPr="00C64429">
                    <w:rPr>
                      <w:b/>
                      <w:caps/>
                      <w:sz w:val="10"/>
                      <w:szCs w:val="16"/>
                    </w:rPr>
                    <w:t>пылесос</w:t>
                  </w:r>
                </w:p>
              </w:txbxContent>
            </v:textbox>
          </v:shape>
        </w:pict>
      </w:r>
      <w:r w:rsidR="00DE39D8"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 w:rsidR="00775A20"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</w:t>
      </w:r>
      <w:r w:rsidR="00775A20">
        <w:rPr>
          <w:rFonts w:ascii="Times New Roman" w:hAnsi="Times New Roman"/>
          <w:sz w:val="28"/>
          <w:szCs w:val="28"/>
        </w:rPr>
        <w:t>е</w:t>
      </w:r>
      <w:r w:rsidRPr="00333911">
        <w:rPr>
          <w:rFonts w:ascii="Times New Roman" w:hAnsi="Times New Roman"/>
          <w:sz w:val="28"/>
          <w:szCs w:val="28"/>
        </w:rPr>
        <w:t xml:space="preserve">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r w:rsidR="003234F5" w:rsidRPr="00333911">
        <w:rPr>
          <w:rFonts w:ascii="Times New Roman" w:hAnsi="Times New Roman" w:cs="Times New Roman"/>
          <w:sz w:val="28"/>
          <w:szCs w:val="28"/>
        </w:rPr>
        <w:t>целом,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</w:t>
      </w:r>
      <w:r w:rsidR="00B12DE3">
        <w:rPr>
          <w:rFonts w:ascii="Times New Roman" w:hAnsi="Times New Roman" w:cs="Times New Roman"/>
          <w:sz w:val="28"/>
          <w:szCs w:val="28"/>
        </w:rPr>
        <w:t>использовать</w:t>
      </w:r>
      <w:r w:rsidRPr="00333911">
        <w:rPr>
          <w:rFonts w:ascii="Times New Roman" w:hAnsi="Times New Roman" w:cs="Times New Roman"/>
          <w:sz w:val="28"/>
          <w:szCs w:val="28"/>
        </w:rPr>
        <w:t xml:space="preserve">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DB1B6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21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2624D2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5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B12DE3" w:rsidRPr="00C34D40" w:rsidRDefault="00B12DE3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0F5441" w:rsidRPr="000F5441" w:rsidRDefault="000F5441" w:rsidP="002326B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 xml:space="preserve">Все участники обязаны использовать защитные очки </w:t>
      </w:r>
      <w:r>
        <w:rPr>
          <w:rFonts w:ascii="Times New Roman" w:hAnsi="Times New Roman" w:cs="Times New Roman"/>
          <w:sz w:val="28"/>
          <w:szCs w:val="28"/>
        </w:rPr>
        <w:t xml:space="preserve">и наушники (беруши) </w:t>
      </w:r>
      <w:r w:rsidRPr="000F5441">
        <w:rPr>
          <w:rFonts w:ascii="Times New Roman" w:hAnsi="Times New Roman" w:cs="Times New Roman"/>
          <w:sz w:val="28"/>
          <w:szCs w:val="28"/>
        </w:rPr>
        <w:t>при работе с ручным, электри</w:t>
      </w:r>
      <w:r>
        <w:rPr>
          <w:rFonts w:ascii="Times New Roman" w:hAnsi="Times New Roman" w:cs="Times New Roman"/>
          <w:sz w:val="28"/>
          <w:szCs w:val="28"/>
        </w:rPr>
        <w:t>фицированны</w:t>
      </w:r>
      <w:r w:rsidRPr="000F544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инструментом или на деревообрабатывающих станках</w:t>
      </w:r>
      <w:r w:rsidRPr="000F5441">
        <w:rPr>
          <w:rFonts w:ascii="Times New Roman" w:hAnsi="Times New Roman" w:cs="Times New Roman"/>
          <w:sz w:val="28"/>
          <w:szCs w:val="28"/>
        </w:rPr>
        <w:t>;</w:t>
      </w:r>
    </w:p>
    <w:p w:rsidR="000F5441" w:rsidRPr="000F5441" w:rsidRDefault="000F5441" w:rsidP="002326B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На всем протяжении конкурса необходимо наличие аптечки и устройства для промывки глаз;</w:t>
      </w:r>
    </w:p>
    <w:p w:rsidR="000F5441" w:rsidRPr="000F5441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Эксперты при проверке или работе со станками, или во время присутствия на рабочих местах участников конкурса, обязаны использовать соответствующие средства индивидуальной защиты;</w:t>
      </w:r>
    </w:p>
    <w:p w:rsidR="000F5441" w:rsidRPr="000F5441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При работе с ручным или электрическим оборудованием, производящим пыль, все участники должны пользоваться средствами защиты органов дыхания;</w:t>
      </w:r>
    </w:p>
    <w:p w:rsidR="000F5441" w:rsidRPr="000F5441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Все станки должны быть оборудованы защ</w:t>
      </w:r>
      <w:r w:rsidR="009E081D">
        <w:rPr>
          <w:rFonts w:ascii="Times New Roman" w:hAnsi="Times New Roman" w:cs="Times New Roman"/>
          <w:sz w:val="28"/>
          <w:szCs w:val="28"/>
        </w:rPr>
        <w:t xml:space="preserve">итными приспособлениями, </w:t>
      </w:r>
      <w:r w:rsidRPr="000F5441">
        <w:rPr>
          <w:rFonts w:ascii="Times New Roman" w:hAnsi="Times New Roman" w:cs="Times New Roman"/>
          <w:sz w:val="28"/>
          <w:szCs w:val="28"/>
        </w:rPr>
        <w:t xml:space="preserve">  </w:t>
      </w:r>
      <w:r w:rsidR="009E081D">
        <w:rPr>
          <w:rFonts w:ascii="Times New Roman" w:hAnsi="Times New Roman" w:cs="Times New Roman"/>
          <w:sz w:val="28"/>
          <w:szCs w:val="28"/>
        </w:rPr>
        <w:t xml:space="preserve">вытяжной системой и </w:t>
      </w:r>
      <w:r w:rsidR="009E081D" w:rsidRPr="000F5441">
        <w:rPr>
          <w:rFonts w:ascii="Times New Roman" w:hAnsi="Times New Roman" w:cs="Times New Roman"/>
          <w:sz w:val="28"/>
          <w:szCs w:val="28"/>
        </w:rPr>
        <w:t>вспомогательным оборудованием</w:t>
      </w:r>
      <w:r w:rsidR="009E081D">
        <w:rPr>
          <w:rFonts w:ascii="Times New Roman" w:hAnsi="Times New Roman" w:cs="Times New Roman"/>
          <w:sz w:val="28"/>
          <w:szCs w:val="28"/>
        </w:rPr>
        <w:t>, соответствующим</w:t>
      </w:r>
      <w:r w:rsidRPr="000F5441">
        <w:rPr>
          <w:rFonts w:ascii="Times New Roman" w:hAnsi="Times New Roman" w:cs="Times New Roman"/>
          <w:sz w:val="28"/>
          <w:szCs w:val="28"/>
        </w:rPr>
        <w:t xml:space="preserve"> техническим требованиям производителя;</w:t>
      </w:r>
    </w:p>
    <w:p w:rsidR="007A4696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Технический эксперт отвечает за осна</w:t>
      </w:r>
      <w:r w:rsidR="009E081D">
        <w:rPr>
          <w:rFonts w:ascii="Times New Roman" w:hAnsi="Times New Roman" w:cs="Times New Roman"/>
          <w:sz w:val="28"/>
          <w:szCs w:val="28"/>
        </w:rPr>
        <w:t>щение и замену оснащения станков;</w:t>
      </w:r>
    </w:p>
    <w:p w:rsidR="000F5441" w:rsidRPr="000F5441" w:rsidRDefault="007A4696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5441">
        <w:rPr>
          <w:rFonts w:ascii="Times New Roman" w:hAnsi="Times New Roman" w:cs="Times New Roman"/>
          <w:sz w:val="28"/>
          <w:szCs w:val="28"/>
        </w:rPr>
        <w:t xml:space="preserve"> </w:t>
      </w:r>
      <w:r w:rsidR="000F5441" w:rsidRPr="000F5441">
        <w:rPr>
          <w:rFonts w:ascii="Times New Roman" w:hAnsi="Times New Roman" w:cs="Times New Roman"/>
          <w:sz w:val="28"/>
          <w:szCs w:val="28"/>
        </w:rPr>
        <w:t>не разрешается настраивать станок вместо участника, но он обязан наблюдать за процессом.</w:t>
      </w:r>
    </w:p>
    <w:p w:rsidR="000F5441" w:rsidRDefault="000F5441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F5" w:rsidRPr="003234F5" w:rsidRDefault="007A4696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34F5">
        <w:rPr>
          <w:rFonts w:ascii="Times New Roman" w:hAnsi="Times New Roman" w:cs="Times New Roman"/>
          <w:sz w:val="28"/>
          <w:szCs w:val="28"/>
        </w:rPr>
        <w:t xml:space="preserve"> ходе ознакомления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34F5" w:rsidRPr="003234F5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234F5" w:rsidRPr="003234F5">
        <w:rPr>
          <w:rFonts w:ascii="Times New Roman" w:hAnsi="Times New Roman" w:cs="Times New Roman"/>
          <w:sz w:val="28"/>
          <w:szCs w:val="28"/>
        </w:rPr>
        <w:t xml:space="preserve"> </w:t>
      </w:r>
      <w:r w:rsidR="00314D04">
        <w:rPr>
          <w:rFonts w:ascii="Times New Roman" w:hAnsi="Times New Roman" w:cs="Times New Roman"/>
          <w:sz w:val="28"/>
          <w:szCs w:val="28"/>
        </w:rPr>
        <w:t>охраны труда</w:t>
      </w:r>
      <w:r w:rsidR="00314D04" w:rsidRPr="003234F5">
        <w:rPr>
          <w:rFonts w:ascii="Times New Roman" w:hAnsi="Times New Roman" w:cs="Times New Roman"/>
          <w:sz w:val="28"/>
          <w:szCs w:val="28"/>
        </w:rPr>
        <w:t xml:space="preserve"> </w:t>
      </w:r>
      <w:r w:rsidR="00314D04">
        <w:rPr>
          <w:rFonts w:ascii="Times New Roman" w:hAnsi="Times New Roman" w:cs="Times New Roman"/>
          <w:sz w:val="28"/>
          <w:szCs w:val="28"/>
        </w:rPr>
        <w:t>и техники безопасности</w:t>
      </w:r>
      <w:r>
        <w:rPr>
          <w:rFonts w:ascii="Times New Roman" w:hAnsi="Times New Roman" w:cs="Times New Roman"/>
          <w:sz w:val="28"/>
          <w:szCs w:val="28"/>
        </w:rPr>
        <w:t>, участникам разъясняют возможные наказания за их нарушение.</w:t>
      </w:r>
    </w:p>
    <w:p w:rsidR="003234F5" w:rsidRPr="003234F5" w:rsidRDefault="003234F5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4F5">
        <w:rPr>
          <w:rFonts w:ascii="Times New Roman" w:hAnsi="Times New Roman" w:cs="Times New Roman"/>
          <w:sz w:val="28"/>
          <w:szCs w:val="28"/>
        </w:rPr>
        <w:lastRenderedPageBreak/>
        <w:t>Если Эксперты, наблюдающие за участниками, замечают нарушени</w:t>
      </w:r>
      <w:r w:rsidR="00314D04">
        <w:rPr>
          <w:rFonts w:ascii="Times New Roman" w:hAnsi="Times New Roman" w:cs="Times New Roman"/>
          <w:sz w:val="28"/>
          <w:szCs w:val="28"/>
        </w:rPr>
        <w:t xml:space="preserve">е правил охраны труда и техники безопасности </w:t>
      </w:r>
      <w:r w:rsidRPr="003234F5">
        <w:rPr>
          <w:rFonts w:ascii="Times New Roman" w:hAnsi="Times New Roman" w:cs="Times New Roman"/>
          <w:sz w:val="28"/>
          <w:szCs w:val="28"/>
        </w:rPr>
        <w:t>в ходе конкурса, они обязаны:</w:t>
      </w:r>
    </w:p>
    <w:p w:rsidR="003234F5" w:rsidRPr="003234F5" w:rsidRDefault="003234F5" w:rsidP="002326B1">
      <w:pPr>
        <w:pStyle w:val="aff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>Первое нарушение: сделать предупреждение участнику и зафиксировать нарушение в протоколе;</w:t>
      </w:r>
    </w:p>
    <w:p w:rsidR="003234F5" w:rsidRPr="003234F5" w:rsidRDefault="003234F5" w:rsidP="002326B1">
      <w:pPr>
        <w:pStyle w:val="aff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>Второе нарушение: сделать предупреждение участнику и зафиксировать нарушение в протоколе;</w:t>
      </w:r>
    </w:p>
    <w:p w:rsidR="003234F5" w:rsidRPr="003234F5" w:rsidRDefault="003234F5" w:rsidP="002326B1">
      <w:pPr>
        <w:pStyle w:val="aff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 xml:space="preserve">Третье нарушение: зафиксировать нарушение в протоколе и </w:t>
      </w:r>
      <w:r w:rsidR="00314D04">
        <w:rPr>
          <w:rFonts w:ascii="Times New Roman" w:hAnsi="Times New Roman"/>
          <w:sz w:val="28"/>
          <w:szCs w:val="28"/>
        </w:rPr>
        <w:t>путем голосования экспертов решить вопрос о дисквалификации участника с чемпионата</w:t>
      </w:r>
      <w:r w:rsidRPr="003234F5">
        <w:rPr>
          <w:rFonts w:ascii="Times New Roman" w:hAnsi="Times New Roman"/>
          <w:sz w:val="28"/>
          <w:szCs w:val="28"/>
        </w:rPr>
        <w:t xml:space="preserve"> за </w:t>
      </w:r>
      <w:r w:rsidR="00314D04">
        <w:rPr>
          <w:rFonts w:ascii="Times New Roman" w:hAnsi="Times New Roman"/>
          <w:sz w:val="28"/>
          <w:szCs w:val="28"/>
        </w:rPr>
        <w:t xml:space="preserve">регулярное </w:t>
      </w:r>
      <w:r w:rsidRPr="003234F5">
        <w:rPr>
          <w:rFonts w:ascii="Times New Roman" w:hAnsi="Times New Roman"/>
          <w:sz w:val="28"/>
          <w:szCs w:val="28"/>
        </w:rPr>
        <w:t>наруше</w:t>
      </w:r>
      <w:r w:rsidR="00314D04">
        <w:rPr>
          <w:rFonts w:ascii="Times New Roman" w:hAnsi="Times New Roman"/>
          <w:sz w:val="28"/>
          <w:szCs w:val="28"/>
        </w:rPr>
        <w:t>ние правил техники безопасности</w:t>
      </w:r>
      <w:r w:rsidRPr="003234F5">
        <w:rPr>
          <w:rFonts w:ascii="Times New Roman" w:hAnsi="Times New Roman"/>
          <w:sz w:val="28"/>
          <w:szCs w:val="28"/>
        </w:rPr>
        <w:t>.</w:t>
      </w:r>
    </w:p>
    <w:p w:rsidR="002326B1" w:rsidRDefault="002326B1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Default="003234F5" w:rsidP="000C27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4"/>
          <w:szCs w:val="34"/>
        </w:rPr>
      </w:pPr>
      <w:r w:rsidRPr="003234F5">
        <w:rPr>
          <w:rFonts w:ascii="Times New Roman" w:hAnsi="Times New Roman" w:cs="Times New Roman"/>
          <w:sz w:val="28"/>
          <w:szCs w:val="28"/>
        </w:rPr>
        <w:t>Для обеспечения безопасности, Эксперты ведут наблюдение, находясь за предел</w:t>
      </w:r>
      <w:r w:rsidR="007A4696">
        <w:rPr>
          <w:rFonts w:ascii="Times New Roman" w:hAnsi="Times New Roman" w:cs="Times New Roman"/>
          <w:sz w:val="28"/>
          <w:szCs w:val="28"/>
        </w:rPr>
        <w:t>ами рабочей площадки участников</w:t>
      </w:r>
      <w:r w:rsidRPr="003234F5">
        <w:rPr>
          <w:rFonts w:ascii="Times New Roman" w:hAnsi="Times New Roman" w:cs="Times New Roman"/>
          <w:sz w:val="28"/>
          <w:szCs w:val="28"/>
        </w:rPr>
        <w:t>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  <w:bookmarkStart w:id="35" w:name="_Toc489607711"/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D96090"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584995" w:rsidRDefault="00584995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5B491F" w:rsidRDefault="005B491F" w:rsidP="002326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91F">
        <w:rPr>
          <w:rFonts w:ascii="Times New Roman" w:hAnsi="Times New Roman" w:cs="Times New Roman"/>
          <w:sz w:val="28"/>
          <w:szCs w:val="28"/>
        </w:rPr>
        <w:t>Участник может иметь при себе следующие инструменты. Этот список приводится лишь в качестве реком</w:t>
      </w:r>
      <w:r>
        <w:rPr>
          <w:rFonts w:ascii="Times New Roman" w:hAnsi="Times New Roman" w:cs="Times New Roman"/>
          <w:sz w:val="28"/>
          <w:szCs w:val="28"/>
        </w:rPr>
        <w:t xml:space="preserve">ендации, и может быть расширен. Любой инструмент, не прописанный в данном списке, может быть применен только после согласия Экспертной группы.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C27B0" w:rsidTr="000C27B0">
        <w:tc>
          <w:tcPr>
            <w:tcW w:w="4927" w:type="dxa"/>
          </w:tcPr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Карандаш простой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Карандаши цветные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Точилка для карандашей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Ластик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Скотч бумажный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Цветные стикеры с клейкой полоской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Транспортир-угломер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Угольник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Циркуль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Набор стамесок (6-24 мм)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Набор стамесок (24-60 мм)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Рубанки ручные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Струбцины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Малки ручные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Ручной рейсмус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Уровень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Киянка</w:t>
            </w:r>
          </w:p>
          <w:p w:rsidR="000C27B0" w:rsidRDefault="000C27B0" w:rsidP="0023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Наждачная бумага, минимальная</w:t>
            </w:r>
            <w:r w:rsidRPr="00603048">
              <w:rPr>
                <w:rFonts w:ascii="Times New Roman" w:hAnsi="Times New Roman"/>
                <w:b w:val="0"/>
                <w:szCs w:val="28"/>
              </w:rPr>
              <w:t xml:space="preserve"> зернистость 240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рожковых ключей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накидных ключей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 ключей-шестиграннико</w:t>
            </w:r>
            <w:r>
              <w:rPr>
                <w:rFonts w:ascii="Times New Roman" w:hAnsi="Times New Roman"/>
                <w:b w:val="0"/>
                <w:szCs w:val="28"/>
              </w:rPr>
              <w:t>в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Шурупы / саморезы (исходя из задания</w:t>
            </w:r>
            <w:r>
              <w:rPr>
                <w:rFonts w:ascii="Times New Roman" w:hAnsi="Times New Roman"/>
                <w:b w:val="0"/>
                <w:szCs w:val="28"/>
              </w:rPr>
              <w:t>)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Фонарик на лоб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Дополнительный прожектор на стойке, максимальная высота 2,0 м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Удлинитель промышленный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Набор фрез с обводным роликом и без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Простой калькулятор +/-/х/:√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Обувь  рабочая усиленная под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03048">
              <w:rPr>
                <w:rFonts w:ascii="Times New Roman" w:hAnsi="Times New Roman"/>
                <w:b w:val="0"/>
                <w:szCs w:val="28"/>
              </w:rPr>
              <w:t>носком, 200Дж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Комбинезон рабочий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Куртка к комбинезону</w:t>
            </w:r>
          </w:p>
          <w:p w:rsidR="000C27B0" w:rsidRDefault="000C27B0" w:rsidP="0023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C27B0" w:rsidRDefault="000C27B0" w:rsidP="002326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423A4" w:rsidTr="00603048">
        <w:tc>
          <w:tcPr>
            <w:tcW w:w="4927" w:type="dxa"/>
          </w:tcPr>
          <w:p w:rsidR="00D423A4" w:rsidRDefault="00D423A4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>Молоток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Ножовки ручные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Ручное приспособление для заточки инструментов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Рулетки, Линейки, складные метры с ценой деления 0.5 мм</w:t>
            </w:r>
          </w:p>
          <w:p w:rsidR="00D423A4" w:rsidRPr="005B491F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Клей столярный + кисть для клея</w:t>
            </w:r>
          </w:p>
        </w:tc>
        <w:tc>
          <w:tcPr>
            <w:tcW w:w="4928" w:type="dxa"/>
          </w:tcPr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Футболка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Кепка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Защитные наушники/ беруши  120 dB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Защитные очки/ маска с безопасным стеклом</w:t>
            </w:r>
          </w:p>
          <w:p w:rsidR="00603048" w:rsidRPr="00D423A4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Респиратор</w:t>
            </w:r>
          </w:p>
        </w:tc>
      </w:tr>
    </w:tbl>
    <w:p w:rsidR="00FE580E" w:rsidRDefault="00FE580E" w:rsidP="00FE58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DB03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580E" w:rsidRPr="00FE580E" w:rsidRDefault="00363CB8" w:rsidP="00FE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80E">
        <w:rPr>
          <w:rFonts w:ascii="Times New Roman" w:hAnsi="Times New Roman"/>
          <w:sz w:val="28"/>
          <w:szCs w:val="28"/>
        </w:rPr>
        <w:t>Участнику р</w:t>
      </w:r>
      <w:r w:rsidR="00691D17" w:rsidRPr="00FE580E">
        <w:rPr>
          <w:rFonts w:ascii="Times New Roman" w:hAnsi="Times New Roman"/>
          <w:sz w:val="28"/>
          <w:szCs w:val="28"/>
        </w:rPr>
        <w:t xml:space="preserve">азрешается привезти </w:t>
      </w:r>
      <w:r w:rsidRPr="00FE580E">
        <w:rPr>
          <w:rFonts w:ascii="Times New Roman" w:hAnsi="Times New Roman"/>
          <w:sz w:val="28"/>
          <w:szCs w:val="28"/>
        </w:rPr>
        <w:t xml:space="preserve">с собой </w:t>
      </w:r>
      <w:r w:rsidR="00691D17" w:rsidRPr="00FE580E">
        <w:rPr>
          <w:rFonts w:ascii="Times New Roman" w:hAnsi="Times New Roman"/>
          <w:sz w:val="28"/>
          <w:szCs w:val="28"/>
        </w:rPr>
        <w:t>весь ручной электрифицированный инструмент</w:t>
      </w:r>
      <w:r w:rsidRPr="00FE580E">
        <w:rPr>
          <w:rFonts w:ascii="Times New Roman" w:hAnsi="Times New Roman"/>
          <w:sz w:val="28"/>
          <w:szCs w:val="28"/>
        </w:rPr>
        <w:t xml:space="preserve"> (шлифмашинка, шуруповерт и т.д.), прописанный в ИЛ в разделе «Инструмент, предоставляемый на площадке»</w:t>
      </w:r>
      <w:r w:rsidR="00FE580E">
        <w:rPr>
          <w:rFonts w:ascii="Times New Roman" w:hAnsi="Times New Roman"/>
          <w:sz w:val="28"/>
          <w:szCs w:val="28"/>
        </w:rPr>
        <w:t>, а также разместить в своей рабочей зоне стационарное оборудование: торцовочная пила, модульный фрезер.</w:t>
      </w:r>
    </w:p>
    <w:p w:rsidR="00DB032F" w:rsidRPr="00DB032F" w:rsidRDefault="00FE580E" w:rsidP="00FE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 1.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>Максимальная высота инструментального ящика в открытом состоянии не должна превышать 1,5м. Никакие объекты на площадке проведения конкурса не могут превышать по высоте 1,5м.</w:t>
      </w:r>
    </w:p>
    <w:p w:rsidR="00DB032F" w:rsidRPr="00DB032F" w:rsidRDefault="00FE580E" w:rsidP="00FE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 xml:space="preserve">После прибытия на место и распаковки инструментальных ящиков, участники обязаны предъявить все инструменты, матрицы и шаблоны для поверки группе </w:t>
      </w:r>
      <w:r w:rsidR="00D96090">
        <w:rPr>
          <w:rFonts w:ascii="Times New Roman" w:eastAsia="Calibri" w:hAnsi="Times New Roman" w:cs="Times New Roman"/>
          <w:sz w:val="28"/>
          <w:szCs w:val="28"/>
        </w:rPr>
        <w:t>экспертов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>, до начала конкурса.</w:t>
      </w:r>
    </w:p>
    <w:p w:rsidR="00DB032F" w:rsidRDefault="00DB032F" w:rsidP="00FE580E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b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5B491F" w:rsidRDefault="005B491F" w:rsidP="00C13490">
      <w:pPr>
        <w:pStyle w:val="-2"/>
        <w:numPr>
          <w:ilvl w:val="0"/>
          <w:numId w:val="21"/>
        </w:numPr>
        <w:spacing w:before="0" w:after="0"/>
        <w:rPr>
          <w:rFonts w:ascii="Times New Roman" w:hAnsi="Times New Roman"/>
          <w:b w:val="0"/>
        </w:rPr>
      </w:pPr>
      <w:bookmarkStart w:id="39" w:name="_Toc489607715"/>
      <w:r w:rsidRPr="005B491F">
        <w:rPr>
          <w:rFonts w:ascii="Times New Roman" w:hAnsi="Times New Roman"/>
          <w:b w:val="0"/>
        </w:rPr>
        <w:t>Участникам не разрешается приносить на конкурс листовой материал или массив дере</w:t>
      </w:r>
      <w:r>
        <w:rPr>
          <w:rFonts w:ascii="Times New Roman" w:hAnsi="Times New Roman"/>
          <w:b w:val="0"/>
        </w:rPr>
        <w:t>ва.</w:t>
      </w:r>
    </w:p>
    <w:p w:rsidR="005B491F" w:rsidRPr="00C13490" w:rsidRDefault="00042C25" w:rsidP="00C13490">
      <w:pPr>
        <w:pStyle w:val="-2"/>
        <w:numPr>
          <w:ilvl w:val="0"/>
          <w:numId w:val="21"/>
        </w:numPr>
        <w:spacing w:before="0" w:after="0"/>
        <w:rPr>
          <w:rFonts w:ascii="Times New Roman" w:hAnsi="Times New Roman"/>
          <w:b w:val="0"/>
          <w:szCs w:val="28"/>
        </w:rPr>
      </w:pPr>
      <w:r w:rsidRPr="00042C25">
        <w:rPr>
          <w:rFonts w:ascii="Times New Roman" w:hAnsi="Times New Roman"/>
          <w:b w:val="0"/>
        </w:rPr>
        <w:t>Участникам не разрешается иметь при себе предварительно изготовленные или собранные матрицы, подставки или шаблоны.</w:t>
      </w:r>
    </w:p>
    <w:p w:rsidR="00C13490" w:rsidRPr="00363CB8" w:rsidRDefault="00C13490" w:rsidP="00C13490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 w:rsidRPr="00C13490">
        <w:rPr>
          <w:rFonts w:ascii="Times New Roman" w:hAnsi="Times New Roman"/>
          <w:sz w:val="28"/>
          <w:szCs w:val="28"/>
        </w:rPr>
        <w:t xml:space="preserve">В ходе конкурса участникам запрещено пользоваться мобильными телефонами, фотоаппаратами, личными устройствами для прослушивания музыки, радиоприемниками и другими </w:t>
      </w:r>
      <w:r w:rsidRPr="00C13490">
        <w:rPr>
          <w:rFonts w:ascii="Times New Roman" w:hAnsi="Times New Roman"/>
          <w:sz w:val="28"/>
          <w:szCs w:val="28"/>
        </w:rPr>
        <w:lastRenderedPageBreak/>
        <w:t>приспособлениями, которые могут отвлечь внимание, по мнению Главного эксперта.</w:t>
      </w:r>
    </w:p>
    <w:p w:rsidR="00363CB8" w:rsidRPr="00FE580E" w:rsidRDefault="00363CB8" w:rsidP="00C13490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Электрифицированный инструмент, привезенный участником, но не указанный в разделе «Инструмент, предоставленный на площадке»</w:t>
      </w:r>
      <w:r w:rsidR="00FE580E">
        <w:rPr>
          <w:rFonts w:ascii="Times New Roman" w:hAnsi="Times New Roman"/>
          <w:sz w:val="28"/>
          <w:szCs w:val="28"/>
        </w:rPr>
        <w:t>, применяется только после голосования Экспертной группы.</w:t>
      </w:r>
    </w:p>
    <w:p w:rsidR="00FE580E" w:rsidRPr="00C13490" w:rsidRDefault="00FE580E" w:rsidP="00C13490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запрещено в своей рабочей зоне размещать более двух единиц стационарного оборудования</w:t>
      </w:r>
      <w:r w:rsidR="00CD5DB4">
        <w:rPr>
          <w:rFonts w:ascii="Times New Roman" w:hAnsi="Times New Roman"/>
          <w:sz w:val="28"/>
          <w:szCs w:val="28"/>
        </w:rPr>
        <w:t>. Комбинированное оборудование не принимается за одну единицу стационарного оборудования.</w:t>
      </w:r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891A5E" w:rsidRPr="0029547E" w:rsidRDefault="00891A5E" w:rsidP="00891A5E">
      <w:pPr>
        <w:pStyle w:val="-2"/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742866" cy="5210175"/>
            <wp:effectExtent l="19050" t="0" r="834" b="0"/>
            <wp:docPr id="4" name="Рисунок 3" descr="План застройки ОС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 ОС 2017 (1)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38671" cy="520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A5E" w:rsidRDefault="00891A5E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23"/>
      <w:footerReference w:type="default" r:id="rId2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31" w:rsidRDefault="009E1531" w:rsidP="00970F49">
      <w:pPr>
        <w:spacing w:after="0" w:line="240" w:lineRule="auto"/>
      </w:pPr>
      <w:r>
        <w:separator/>
      </w:r>
    </w:p>
  </w:endnote>
  <w:endnote w:type="continuationSeparator" w:id="1">
    <w:p w:rsidR="009E1531" w:rsidRDefault="009E153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B12DE3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B12DE3" w:rsidRPr="00832EBB" w:rsidRDefault="00B12DE3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B12DE3" w:rsidRPr="00832EBB" w:rsidRDefault="00B12DE3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12DE3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B12DE3" w:rsidRPr="009955F8" w:rsidRDefault="00B12DE3" w:rsidP="00B300E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Столярное дело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B12DE3" w:rsidRPr="00832EBB" w:rsidRDefault="002624D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B12DE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C05B7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12DE3" w:rsidRDefault="00B12D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31" w:rsidRDefault="009E1531" w:rsidP="00970F49">
      <w:pPr>
        <w:spacing w:after="0" w:line="240" w:lineRule="auto"/>
      </w:pPr>
      <w:r>
        <w:separator/>
      </w:r>
    </w:p>
  </w:footnote>
  <w:footnote w:type="continuationSeparator" w:id="1">
    <w:p w:rsidR="009E1531" w:rsidRDefault="009E153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E3" w:rsidRDefault="00B12DE3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12DE3" w:rsidRDefault="00B12DE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B12DE3" w:rsidRDefault="00B12DE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B12DE3" w:rsidRPr="00B45AA4" w:rsidRDefault="00B12DE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1D31DE"/>
    <w:multiLevelType w:val="hybridMultilevel"/>
    <w:tmpl w:val="C162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9295ECE"/>
    <w:multiLevelType w:val="hybridMultilevel"/>
    <w:tmpl w:val="390E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A3F8E"/>
    <w:multiLevelType w:val="hybridMultilevel"/>
    <w:tmpl w:val="F852F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33427"/>
    <w:multiLevelType w:val="hybridMultilevel"/>
    <w:tmpl w:val="5B3A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20380"/>
    <w:multiLevelType w:val="hybridMultilevel"/>
    <w:tmpl w:val="A784E41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>
    <w:nsid w:val="51DB7737"/>
    <w:multiLevelType w:val="hybridMultilevel"/>
    <w:tmpl w:val="A91C347C"/>
    <w:lvl w:ilvl="0" w:tplc="0E344F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1954D52"/>
    <w:multiLevelType w:val="hybridMultilevel"/>
    <w:tmpl w:val="B0C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12961"/>
    <w:multiLevelType w:val="hybridMultilevel"/>
    <w:tmpl w:val="60D8A0EC"/>
    <w:lvl w:ilvl="0" w:tplc="0E344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764EBE"/>
    <w:multiLevelType w:val="hybridMultilevel"/>
    <w:tmpl w:val="1ED88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64465"/>
    <w:multiLevelType w:val="hybridMultilevel"/>
    <w:tmpl w:val="123C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17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15"/>
  </w:num>
  <w:num w:numId="16">
    <w:abstractNumId w:val="12"/>
  </w:num>
  <w:num w:numId="17">
    <w:abstractNumId w:val="19"/>
  </w:num>
  <w:num w:numId="18">
    <w:abstractNumId w:val="9"/>
  </w:num>
  <w:num w:numId="19">
    <w:abstractNumId w:val="16"/>
  </w:num>
  <w:num w:numId="20">
    <w:abstractNumId w:val="20"/>
  </w:num>
  <w:num w:numId="21">
    <w:abstractNumId w:val="18"/>
  </w:num>
  <w:num w:numId="22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10E1C"/>
    <w:rsid w:val="00042C25"/>
    <w:rsid w:val="00042E5E"/>
    <w:rsid w:val="00056CDE"/>
    <w:rsid w:val="000605C5"/>
    <w:rsid w:val="0006422E"/>
    <w:rsid w:val="000A1F96"/>
    <w:rsid w:val="000B0288"/>
    <w:rsid w:val="000B3397"/>
    <w:rsid w:val="000C27B0"/>
    <w:rsid w:val="000D74AA"/>
    <w:rsid w:val="000F5441"/>
    <w:rsid w:val="001024BE"/>
    <w:rsid w:val="001074A2"/>
    <w:rsid w:val="00127743"/>
    <w:rsid w:val="0015521F"/>
    <w:rsid w:val="0017612A"/>
    <w:rsid w:val="00184F8F"/>
    <w:rsid w:val="001A2FED"/>
    <w:rsid w:val="001D243F"/>
    <w:rsid w:val="001E2B1D"/>
    <w:rsid w:val="001E3EDB"/>
    <w:rsid w:val="00220E70"/>
    <w:rsid w:val="00225A13"/>
    <w:rsid w:val="002326B1"/>
    <w:rsid w:val="002624D2"/>
    <w:rsid w:val="002646A5"/>
    <w:rsid w:val="00265039"/>
    <w:rsid w:val="002736DE"/>
    <w:rsid w:val="00282DD0"/>
    <w:rsid w:val="00287D3B"/>
    <w:rsid w:val="0029547E"/>
    <w:rsid w:val="002A7E81"/>
    <w:rsid w:val="002B1426"/>
    <w:rsid w:val="002C605A"/>
    <w:rsid w:val="002F0458"/>
    <w:rsid w:val="002F2906"/>
    <w:rsid w:val="002F76E3"/>
    <w:rsid w:val="00314D04"/>
    <w:rsid w:val="003234F5"/>
    <w:rsid w:val="00326B4E"/>
    <w:rsid w:val="00333911"/>
    <w:rsid w:val="00334165"/>
    <w:rsid w:val="00363CB8"/>
    <w:rsid w:val="003934F8"/>
    <w:rsid w:val="003957BD"/>
    <w:rsid w:val="00397A1B"/>
    <w:rsid w:val="003A21C8"/>
    <w:rsid w:val="003C1605"/>
    <w:rsid w:val="003D1E51"/>
    <w:rsid w:val="003D26EA"/>
    <w:rsid w:val="003F3C03"/>
    <w:rsid w:val="003F4F3B"/>
    <w:rsid w:val="004254FE"/>
    <w:rsid w:val="00430C88"/>
    <w:rsid w:val="00431817"/>
    <w:rsid w:val="004343BD"/>
    <w:rsid w:val="0044354A"/>
    <w:rsid w:val="00450D3F"/>
    <w:rsid w:val="00460205"/>
    <w:rsid w:val="00463E39"/>
    <w:rsid w:val="00474B09"/>
    <w:rsid w:val="004917C4"/>
    <w:rsid w:val="00496612"/>
    <w:rsid w:val="00497F59"/>
    <w:rsid w:val="004A07A5"/>
    <w:rsid w:val="004B49EE"/>
    <w:rsid w:val="004B692B"/>
    <w:rsid w:val="004C7A39"/>
    <w:rsid w:val="004D096E"/>
    <w:rsid w:val="004D312A"/>
    <w:rsid w:val="004E7905"/>
    <w:rsid w:val="0050100D"/>
    <w:rsid w:val="00510059"/>
    <w:rsid w:val="00523CEF"/>
    <w:rsid w:val="005461C3"/>
    <w:rsid w:val="00554CBB"/>
    <w:rsid w:val="005560AC"/>
    <w:rsid w:val="0056194A"/>
    <w:rsid w:val="00584995"/>
    <w:rsid w:val="00584AAB"/>
    <w:rsid w:val="00593B83"/>
    <w:rsid w:val="005A7178"/>
    <w:rsid w:val="005B0DEC"/>
    <w:rsid w:val="005B491F"/>
    <w:rsid w:val="005C6A23"/>
    <w:rsid w:val="005E30DC"/>
    <w:rsid w:val="00603048"/>
    <w:rsid w:val="006202CC"/>
    <w:rsid w:val="0062289F"/>
    <w:rsid w:val="0062789A"/>
    <w:rsid w:val="0063396F"/>
    <w:rsid w:val="0064491A"/>
    <w:rsid w:val="00653B50"/>
    <w:rsid w:val="00670B4C"/>
    <w:rsid w:val="006856B1"/>
    <w:rsid w:val="006873B8"/>
    <w:rsid w:val="00691D17"/>
    <w:rsid w:val="00695299"/>
    <w:rsid w:val="00695A4D"/>
    <w:rsid w:val="006971E8"/>
    <w:rsid w:val="006B0FEA"/>
    <w:rsid w:val="006C28B4"/>
    <w:rsid w:val="006C6D6D"/>
    <w:rsid w:val="006C7A3B"/>
    <w:rsid w:val="006D01E7"/>
    <w:rsid w:val="006E3862"/>
    <w:rsid w:val="006E5151"/>
    <w:rsid w:val="007145B3"/>
    <w:rsid w:val="00727F97"/>
    <w:rsid w:val="00736514"/>
    <w:rsid w:val="00741041"/>
    <w:rsid w:val="0074372D"/>
    <w:rsid w:val="007444F6"/>
    <w:rsid w:val="00755067"/>
    <w:rsid w:val="007735DC"/>
    <w:rsid w:val="00775A20"/>
    <w:rsid w:val="0078107F"/>
    <w:rsid w:val="007A4696"/>
    <w:rsid w:val="007A6888"/>
    <w:rsid w:val="007B0DCC"/>
    <w:rsid w:val="007B2222"/>
    <w:rsid w:val="007D3601"/>
    <w:rsid w:val="007F647D"/>
    <w:rsid w:val="008137A5"/>
    <w:rsid w:val="00832EBB"/>
    <w:rsid w:val="00834734"/>
    <w:rsid w:val="00834C8F"/>
    <w:rsid w:val="00835BF6"/>
    <w:rsid w:val="00850E17"/>
    <w:rsid w:val="00871065"/>
    <w:rsid w:val="00881DD2"/>
    <w:rsid w:val="00882B54"/>
    <w:rsid w:val="00891A5E"/>
    <w:rsid w:val="00895619"/>
    <w:rsid w:val="008A4AC7"/>
    <w:rsid w:val="008B560B"/>
    <w:rsid w:val="008B6A46"/>
    <w:rsid w:val="008D6DCF"/>
    <w:rsid w:val="008F5B9A"/>
    <w:rsid w:val="009018F0"/>
    <w:rsid w:val="00912698"/>
    <w:rsid w:val="009126F1"/>
    <w:rsid w:val="00944944"/>
    <w:rsid w:val="00953113"/>
    <w:rsid w:val="009566CC"/>
    <w:rsid w:val="00956906"/>
    <w:rsid w:val="00970F49"/>
    <w:rsid w:val="009931F0"/>
    <w:rsid w:val="009955F8"/>
    <w:rsid w:val="009A0942"/>
    <w:rsid w:val="009C2072"/>
    <w:rsid w:val="009D64B7"/>
    <w:rsid w:val="009E081D"/>
    <w:rsid w:val="009E1531"/>
    <w:rsid w:val="009E42CA"/>
    <w:rsid w:val="009F57C0"/>
    <w:rsid w:val="00A27EE4"/>
    <w:rsid w:val="00A34888"/>
    <w:rsid w:val="00A46199"/>
    <w:rsid w:val="00A516FD"/>
    <w:rsid w:val="00A57976"/>
    <w:rsid w:val="00A67C0C"/>
    <w:rsid w:val="00A70FD6"/>
    <w:rsid w:val="00A87627"/>
    <w:rsid w:val="00A91821"/>
    <w:rsid w:val="00A91D4B"/>
    <w:rsid w:val="00AA2B8A"/>
    <w:rsid w:val="00AE6AB7"/>
    <w:rsid w:val="00AE7A32"/>
    <w:rsid w:val="00AF4DA1"/>
    <w:rsid w:val="00B05F34"/>
    <w:rsid w:val="00B12DE3"/>
    <w:rsid w:val="00B162B5"/>
    <w:rsid w:val="00B236AD"/>
    <w:rsid w:val="00B25038"/>
    <w:rsid w:val="00B300E7"/>
    <w:rsid w:val="00B40FFB"/>
    <w:rsid w:val="00B4196F"/>
    <w:rsid w:val="00B45392"/>
    <w:rsid w:val="00B45AA4"/>
    <w:rsid w:val="00B71F5D"/>
    <w:rsid w:val="00BA2CF0"/>
    <w:rsid w:val="00BC3813"/>
    <w:rsid w:val="00BC7808"/>
    <w:rsid w:val="00BE41CF"/>
    <w:rsid w:val="00C06EBC"/>
    <w:rsid w:val="00C13095"/>
    <w:rsid w:val="00C13490"/>
    <w:rsid w:val="00C22037"/>
    <w:rsid w:val="00C512B7"/>
    <w:rsid w:val="00C64429"/>
    <w:rsid w:val="00C95538"/>
    <w:rsid w:val="00CA1EB6"/>
    <w:rsid w:val="00CA6CCD"/>
    <w:rsid w:val="00CA7D1D"/>
    <w:rsid w:val="00CB2A32"/>
    <w:rsid w:val="00CC50B7"/>
    <w:rsid w:val="00CC6CD1"/>
    <w:rsid w:val="00CD5DB4"/>
    <w:rsid w:val="00D00C28"/>
    <w:rsid w:val="00D12ABD"/>
    <w:rsid w:val="00D12D3B"/>
    <w:rsid w:val="00D16F4B"/>
    <w:rsid w:val="00D2075B"/>
    <w:rsid w:val="00D37CEC"/>
    <w:rsid w:val="00D40B4D"/>
    <w:rsid w:val="00D41269"/>
    <w:rsid w:val="00D423A4"/>
    <w:rsid w:val="00D45007"/>
    <w:rsid w:val="00D51F00"/>
    <w:rsid w:val="00D5339B"/>
    <w:rsid w:val="00D70F63"/>
    <w:rsid w:val="00D72B7F"/>
    <w:rsid w:val="00D80425"/>
    <w:rsid w:val="00D9143A"/>
    <w:rsid w:val="00D95679"/>
    <w:rsid w:val="00D96090"/>
    <w:rsid w:val="00DB032F"/>
    <w:rsid w:val="00DB1B6A"/>
    <w:rsid w:val="00DE39D8"/>
    <w:rsid w:val="00DE5614"/>
    <w:rsid w:val="00DF12CC"/>
    <w:rsid w:val="00E10F32"/>
    <w:rsid w:val="00E278BF"/>
    <w:rsid w:val="00E3615F"/>
    <w:rsid w:val="00E50D14"/>
    <w:rsid w:val="00E857D6"/>
    <w:rsid w:val="00EA0163"/>
    <w:rsid w:val="00EA0C3A"/>
    <w:rsid w:val="00EB2779"/>
    <w:rsid w:val="00EC0B2E"/>
    <w:rsid w:val="00ED18F9"/>
    <w:rsid w:val="00ED3C4A"/>
    <w:rsid w:val="00ED53C9"/>
    <w:rsid w:val="00EE1537"/>
    <w:rsid w:val="00EF7632"/>
    <w:rsid w:val="00F1662D"/>
    <w:rsid w:val="00F335DB"/>
    <w:rsid w:val="00F352BD"/>
    <w:rsid w:val="00F40C29"/>
    <w:rsid w:val="00F569A5"/>
    <w:rsid w:val="00F6025D"/>
    <w:rsid w:val="00F619CA"/>
    <w:rsid w:val="00F672B2"/>
    <w:rsid w:val="00F83D10"/>
    <w:rsid w:val="00F87886"/>
    <w:rsid w:val="00F96457"/>
    <w:rsid w:val="00FB1F17"/>
    <w:rsid w:val="00FC05B7"/>
    <w:rsid w:val="00FD20DE"/>
    <w:rsid w:val="00FD520E"/>
    <w:rsid w:val="00FE580E"/>
    <w:rsid w:val="00FF0F96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tabs>
        <w:tab w:val="clear" w:pos="786"/>
        <w:tab w:val="num" w:pos="720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pple-converted-space">
    <w:name w:val="apple-converted-space"/>
    <w:basedOn w:val="a2"/>
    <w:rsid w:val="000F5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0%D0%B5%D0%BC%D0%B5%D1%81%D0%BB%D0%B5%D0%BD%D0%BD%D0%B8%D0%BA" TargetMode="External"/><Relationship Id="rId18" Type="http://schemas.openxmlformats.org/officeDocument/2006/relationships/hyperlink" Target="https://ru.wikipedia.org/wiki/%D0%9B%D0%B5%D1%81%D1%82%D0%BD%D0%B8%D1%86%D0%B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orum.worldskill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s://ru.wikipedia.org/wiki/%D0%90%D1%80%D0%BA%D0%B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A%D0%BD%D0%BE" TargetMode="External"/><Relationship Id="rId20" Type="http://schemas.openxmlformats.org/officeDocument/2006/relationships/hyperlink" Target="http://forum.worldskill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2%D0%B5%D1%80%D1%8C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pyright.ru/" TargetMode="External"/><Relationship Id="rId19" Type="http://schemas.openxmlformats.org/officeDocument/2006/relationships/hyperlink" Target="http://forum.worldskill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C%D0%B5%D0%B1%D0%B5%D0%BB%D1%8C" TargetMode="External"/><Relationship Id="rId2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B2FF-D1AD-41F9-BE4B-E41D3963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33</Pages>
  <Words>6130</Words>
  <Characters>34943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Столярное дело</dc:creator>
  <cp:keywords/>
  <dc:description/>
  <cp:lastModifiedBy>Катя</cp:lastModifiedBy>
  <cp:revision>97</cp:revision>
  <dcterms:created xsi:type="dcterms:W3CDTF">2017-08-03T14:58:00Z</dcterms:created>
  <dcterms:modified xsi:type="dcterms:W3CDTF">2019-07-16T17:24:00Z</dcterms:modified>
</cp:coreProperties>
</file>